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A9F09" w14:textId="33FF2C7C" w:rsidR="003631E0" w:rsidRPr="00DE15BD" w:rsidRDefault="003631E0" w:rsidP="00E3551A">
      <w:pPr>
        <w:pStyle w:val="MH1nonumb"/>
        <w:spacing w:after="0"/>
      </w:pPr>
      <w:r w:rsidRPr="00DE15BD">
        <w:t xml:space="preserve">EXECUTIVE SUMMARY – INVESTORS’ </w:t>
      </w:r>
      <w:r w:rsidR="00F020DB" w:rsidRPr="00DE15BD">
        <w:t xml:space="preserve">CITIZENSHIP AND </w:t>
      </w:r>
      <w:r w:rsidRPr="00DE15BD">
        <w:t xml:space="preserve">RESIDENCE SCHEMES IN </w:t>
      </w:r>
      <w:r w:rsidR="008F18C7" w:rsidRPr="00DE15BD">
        <w:t xml:space="preserve">CYPRUS </w:t>
      </w:r>
    </w:p>
    <w:p w14:paraId="3DAFA579" w14:textId="77777777" w:rsidR="00FC0CA6" w:rsidRPr="00DE15BD" w:rsidRDefault="00FC0CA6" w:rsidP="00FC0CA6">
      <w:pPr>
        <w:spacing w:after="0" w:line="240" w:lineRule="auto"/>
        <w:jc w:val="both"/>
        <w:outlineLvl w:val="0"/>
        <w:rPr>
          <w:b/>
          <w:i/>
          <w:sz w:val="22"/>
          <w:szCs w:val="22"/>
        </w:rPr>
      </w:pPr>
    </w:p>
    <w:p w14:paraId="70155622" w14:textId="6762359D" w:rsidR="00C20061" w:rsidRPr="00DE15BD" w:rsidRDefault="00C20061" w:rsidP="00FC0CA6">
      <w:pPr>
        <w:spacing w:after="0" w:line="240" w:lineRule="auto"/>
        <w:jc w:val="both"/>
        <w:outlineLvl w:val="0"/>
        <w:rPr>
          <w:b/>
          <w:i/>
          <w:sz w:val="22"/>
          <w:szCs w:val="22"/>
        </w:rPr>
      </w:pPr>
      <w:r w:rsidRPr="00DE15BD">
        <w:rPr>
          <w:b/>
          <w:i/>
          <w:sz w:val="22"/>
          <w:szCs w:val="22"/>
        </w:rPr>
        <w:t>General background</w:t>
      </w:r>
    </w:p>
    <w:p w14:paraId="5DCC9C16" w14:textId="77777777" w:rsidR="00C20061" w:rsidRPr="00DE15BD" w:rsidRDefault="00C20061" w:rsidP="00FC0CA6">
      <w:pPr>
        <w:spacing w:after="0" w:line="240" w:lineRule="auto"/>
        <w:jc w:val="both"/>
        <w:rPr>
          <w:i/>
          <w:color w:val="FF0000"/>
          <w:sz w:val="22"/>
          <w:szCs w:val="22"/>
        </w:rPr>
      </w:pPr>
    </w:p>
    <w:p w14:paraId="38052D4A" w14:textId="5CED9D80" w:rsidR="00BA5E28" w:rsidRPr="00DE15BD" w:rsidRDefault="008F18C7" w:rsidP="00FC0CA6">
      <w:pPr>
        <w:pStyle w:val="MBT"/>
        <w:rPr>
          <w:b/>
          <w:lang w:val="en-GB"/>
        </w:rPr>
      </w:pPr>
      <w:r w:rsidRPr="00DE15BD">
        <w:rPr>
          <w:b/>
          <w:lang w:val="en-GB"/>
        </w:rPr>
        <w:t>Article 111A of the Civil Registry Laws of 2002 to 2017</w:t>
      </w:r>
      <w:r w:rsidRPr="00DE15BD">
        <w:rPr>
          <w:vertAlign w:val="superscript"/>
          <w:lang w:val="en-GB"/>
        </w:rPr>
        <w:footnoteReference w:id="1"/>
      </w:r>
      <w:r w:rsidRPr="00DE15BD">
        <w:rPr>
          <w:lang w:val="en-GB"/>
        </w:rPr>
        <w:t xml:space="preserve"> </w:t>
      </w:r>
      <w:r w:rsidR="00BA5E28" w:rsidRPr="00DE15BD">
        <w:rPr>
          <w:lang w:val="en-GB"/>
        </w:rPr>
        <w:t xml:space="preserve">gives the </w:t>
      </w:r>
      <w:r w:rsidRPr="00DE15BD">
        <w:rPr>
          <w:lang w:val="en-GB"/>
        </w:rPr>
        <w:t xml:space="preserve">Council of Ministers </w:t>
      </w:r>
      <w:r w:rsidR="00BA5E28" w:rsidRPr="00DE15BD">
        <w:rPr>
          <w:lang w:val="en-GB"/>
        </w:rPr>
        <w:t xml:space="preserve">the power to </w:t>
      </w:r>
      <w:r w:rsidRPr="00DE15BD">
        <w:rPr>
          <w:lang w:val="en-GB"/>
        </w:rPr>
        <w:t>permit for reasons of public interest, in exceptional circumstances of high level services provided to the Republic</w:t>
      </w:r>
      <w:r w:rsidR="00BA5E28" w:rsidRPr="00DE15BD">
        <w:rPr>
          <w:lang w:val="en-GB"/>
        </w:rPr>
        <w:t xml:space="preserve"> of Cyprus</w:t>
      </w:r>
      <w:r w:rsidRPr="00DE15BD">
        <w:rPr>
          <w:lang w:val="en-GB"/>
        </w:rPr>
        <w:t xml:space="preserve">, </w:t>
      </w:r>
      <w:r w:rsidR="00BA5E28" w:rsidRPr="00DE15BD">
        <w:rPr>
          <w:lang w:val="en-GB"/>
        </w:rPr>
        <w:t xml:space="preserve">the </w:t>
      </w:r>
      <w:r w:rsidRPr="00DE15BD">
        <w:rPr>
          <w:lang w:val="en-GB"/>
        </w:rPr>
        <w:t xml:space="preserve">granting of citizenship to an alien citizen without the </w:t>
      </w:r>
      <w:r w:rsidR="00DE15BD" w:rsidRPr="00DE15BD">
        <w:rPr>
          <w:lang w:val="en-GB"/>
        </w:rPr>
        <w:t>fulfilment</w:t>
      </w:r>
      <w:r w:rsidRPr="00DE15BD">
        <w:rPr>
          <w:lang w:val="en-GB"/>
        </w:rPr>
        <w:t xml:space="preserve"> of the </w:t>
      </w:r>
      <w:r w:rsidR="00BA5E28" w:rsidRPr="00DE15BD">
        <w:rPr>
          <w:lang w:val="en-GB"/>
        </w:rPr>
        <w:t xml:space="preserve">normal </w:t>
      </w:r>
      <w:r w:rsidRPr="00DE15BD">
        <w:rPr>
          <w:lang w:val="en-GB"/>
        </w:rPr>
        <w:t xml:space="preserve">requirements </w:t>
      </w:r>
      <w:r w:rsidR="0060646A" w:rsidRPr="00DE15BD">
        <w:rPr>
          <w:lang w:val="en-GB"/>
        </w:rPr>
        <w:t>of naturali</w:t>
      </w:r>
      <w:r w:rsidR="00DE15BD" w:rsidRPr="00DE15BD">
        <w:rPr>
          <w:lang w:val="en-GB"/>
        </w:rPr>
        <w:t>s</w:t>
      </w:r>
      <w:r w:rsidR="0060646A" w:rsidRPr="00DE15BD">
        <w:rPr>
          <w:lang w:val="en-GB"/>
        </w:rPr>
        <w:t>ation</w:t>
      </w:r>
      <w:r w:rsidR="00BA5E28" w:rsidRPr="00DE15BD">
        <w:rPr>
          <w:lang w:val="en-GB"/>
        </w:rPr>
        <w:t xml:space="preserve"> - </w:t>
      </w:r>
      <w:r w:rsidR="00BA5E28" w:rsidRPr="00DE15BD">
        <w:rPr>
          <w:b/>
          <w:lang w:val="en-GB"/>
        </w:rPr>
        <w:t>Cypriot citizenship by exception to investors.</w:t>
      </w:r>
    </w:p>
    <w:p w14:paraId="62427070" w14:textId="28500F80" w:rsidR="008F18C7" w:rsidRPr="00DE15BD" w:rsidRDefault="008F18C7" w:rsidP="00FC0CA6">
      <w:pPr>
        <w:pStyle w:val="MBT"/>
        <w:rPr>
          <w:lang w:val="en-GB"/>
        </w:rPr>
      </w:pPr>
    </w:p>
    <w:p w14:paraId="50D89FD7" w14:textId="3B9264BC" w:rsidR="0060646A" w:rsidRPr="00DE15BD" w:rsidRDefault="0060646A" w:rsidP="00FC0CA6">
      <w:pPr>
        <w:pStyle w:val="MBT"/>
        <w:rPr>
          <w:lang w:val="en-GB"/>
        </w:rPr>
      </w:pPr>
      <w:r w:rsidRPr="00DE15BD">
        <w:rPr>
          <w:lang w:val="en-GB"/>
        </w:rPr>
        <w:t>The</w:t>
      </w:r>
      <w:r w:rsidR="008F18C7" w:rsidRPr="00DE15BD">
        <w:rPr>
          <w:lang w:val="en-GB"/>
        </w:rPr>
        <w:t xml:space="preserve"> Council of Ministers </w:t>
      </w:r>
      <w:r w:rsidRPr="00DE15BD">
        <w:rPr>
          <w:lang w:val="en-GB"/>
        </w:rPr>
        <w:t xml:space="preserve">Decisions </w:t>
      </w:r>
      <w:r w:rsidR="001B2883" w:rsidRPr="00DE15BD">
        <w:rPr>
          <w:lang w:val="en-GB"/>
        </w:rPr>
        <w:t>on the</w:t>
      </w:r>
      <w:r w:rsidRPr="00DE15BD">
        <w:rPr>
          <w:lang w:val="en-GB"/>
        </w:rPr>
        <w:t xml:space="preserve"> Investor’s Citizenship Scheme currently in </w:t>
      </w:r>
      <w:r w:rsidR="00096A02" w:rsidRPr="00DE15BD">
        <w:rPr>
          <w:lang w:val="en-GB"/>
        </w:rPr>
        <w:t>force</w:t>
      </w:r>
      <w:r w:rsidRPr="00DE15BD">
        <w:rPr>
          <w:lang w:val="en-GB"/>
        </w:rPr>
        <w:t xml:space="preserve"> are: </w:t>
      </w:r>
    </w:p>
    <w:p w14:paraId="09D458D2" w14:textId="7F74F6CF" w:rsidR="008F18C7" w:rsidRPr="00DE15BD" w:rsidRDefault="008F18C7" w:rsidP="00FC0CA6">
      <w:pPr>
        <w:pStyle w:val="MBT"/>
        <w:numPr>
          <w:ilvl w:val="0"/>
          <w:numId w:val="20"/>
        </w:numPr>
        <w:rPr>
          <w:lang w:val="en-GB"/>
        </w:rPr>
      </w:pPr>
      <w:r w:rsidRPr="00DE15BD">
        <w:rPr>
          <w:b/>
          <w:lang w:val="en-GB"/>
        </w:rPr>
        <w:t xml:space="preserve">Decision </w:t>
      </w:r>
      <w:r w:rsidR="00096A02" w:rsidRPr="00DE15BD">
        <w:rPr>
          <w:b/>
          <w:lang w:val="en-GB"/>
        </w:rPr>
        <w:t xml:space="preserve">No. </w:t>
      </w:r>
      <w:r w:rsidRPr="00DE15BD">
        <w:rPr>
          <w:b/>
          <w:lang w:val="en-GB"/>
        </w:rPr>
        <w:t>81.292</w:t>
      </w:r>
      <w:r w:rsidRPr="00DE15BD">
        <w:rPr>
          <w:lang w:val="en-GB"/>
        </w:rPr>
        <w:t xml:space="preserve"> dated 13 September 2016</w:t>
      </w:r>
      <w:r w:rsidRPr="00DE15BD">
        <w:rPr>
          <w:rStyle w:val="FootnoteReference"/>
          <w:lang w:val="en-GB"/>
        </w:rPr>
        <w:footnoteReference w:id="2"/>
      </w:r>
      <w:r w:rsidRPr="00DE15BD">
        <w:rPr>
          <w:lang w:val="en-GB"/>
        </w:rPr>
        <w:t xml:space="preserve"> introducing the “SCHEME FOR NATURALISATION OF INVESTORS IN CYPRUS BY EXCEPTION</w:t>
      </w:r>
      <w:r w:rsidR="0060646A" w:rsidRPr="00DE15BD">
        <w:rPr>
          <w:lang w:val="en-GB"/>
        </w:rPr>
        <w:t xml:space="preserve"> </w:t>
      </w:r>
      <w:r w:rsidRPr="00DE15BD">
        <w:rPr>
          <w:lang w:val="en-GB"/>
        </w:rPr>
        <w:t xml:space="preserve">on the basis of subsection (2) of section 111A of the Civil Registry Laws of 2002-2015”. </w:t>
      </w:r>
    </w:p>
    <w:p w14:paraId="5726261D" w14:textId="0437626A" w:rsidR="0060646A" w:rsidRPr="00DE15BD" w:rsidRDefault="008F18C7" w:rsidP="00FC0CA6">
      <w:pPr>
        <w:pStyle w:val="MBT"/>
        <w:numPr>
          <w:ilvl w:val="0"/>
          <w:numId w:val="20"/>
        </w:numPr>
        <w:rPr>
          <w:lang w:val="en-GB"/>
        </w:rPr>
      </w:pPr>
      <w:r w:rsidRPr="00DE15BD">
        <w:rPr>
          <w:b/>
          <w:lang w:val="en-GB"/>
        </w:rPr>
        <w:t>Decision No. 8</w:t>
      </w:r>
      <w:r w:rsidR="0060646A" w:rsidRPr="00DE15BD">
        <w:rPr>
          <w:b/>
          <w:lang w:val="en-GB"/>
        </w:rPr>
        <w:t>4.068</w:t>
      </w:r>
      <w:r w:rsidR="0060646A" w:rsidRPr="00DE15BD">
        <w:rPr>
          <w:lang w:val="en-GB"/>
        </w:rPr>
        <w:t xml:space="preserve"> dated 9 January 2018</w:t>
      </w:r>
      <w:r w:rsidRPr="00DE15BD">
        <w:rPr>
          <w:rStyle w:val="FootnoteReference"/>
          <w:lang w:val="en-GB"/>
        </w:rPr>
        <w:footnoteReference w:id="3"/>
      </w:r>
      <w:r w:rsidR="0060646A" w:rsidRPr="00DE15BD">
        <w:rPr>
          <w:lang w:val="en-GB"/>
        </w:rPr>
        <w:t xml:space="preserve"> establishing </w:t>
      </w:r>
      <w:r w:rsidRPr="00DE15BD">
        <w:rPr>
          <w:lang w:val="en-GB"/>
        </w:rPr>
        <w:t>a Supervisory and</w:t>
      </w:r>
      <w:r w:rsidR="0060646A" w:rsidRPr="00DE15BD">
        <w:rPr>
          <w:lang w:val="en-GB"/>
        </w:rPr>
        <w:t xml:space="preserve"> Control Committee, </w:t>
      </w:r>
      <w:r w:rsidRPr="00DE15BD">
        <w:rPr>
          <w:lang w:val="en-GB"/>
        </w:rPr>
        <w:t xml:space="preserve">an Investor Citizenship Scheme Providers Registry, </w:t>
      </w:r>
      <w:r w:rsidR="0060646A" w:rsidRPr="00DE15BD">
        <w:rPr>
          <w:lang w:val="en-GB"/>
        </w:rPr>
        <w:t xml:space="preserve">the Code of Conduct and the </w:t>
      </w:r>
      <w:r w:rsidRPr="00DE15BD">
        <w:rPr>
          <w:lang w:val="en-GB"/>
        </w:rPr>
        <w:t>ban on advertisi</w:t>
      </w:r>
      <w:r w:rsidR="0060646A" w:rsidRPr="00DE15BD">
        <w:rPr>
          <w:lang w:val="en-GB"/>
        </w:rPr>
        <w:t>ng the Scheme in public places.</w:t>
      </w:r>
    </w:p>
    <w:p w14:paraId="5AF7A918" w14:textId="31D117BB" w:rsidR="008F18C7" w:rsidRPr="00DE15BD" w:rsidRDefault="0060646A" w:rsidP="00E3551A">
      <w:pPr>
        <w:pStyle w:val="MMultilevel"/>
        <w:numPr>
          <w:ilvl w:val="0"/>
          <w:numId w:val="20"/>
        </w:numPr>
        <w:rPr>
          <w:lang w:val="en-GB"/>
        </w:rPr>
      </w:pPr>
      <w:r w:rsidRPr="00DE15BD">
        <w:rPr>
          <w:b/>
          <w:lang w:val="en-GB"/>
        </w:rPr>
        <w:t>Decision 906/2018</w:t>
      </w:r>
      <w:r w:rsidRPr="00DE15BD">
        <w:rPr>
          <w:lang w:val="en-GB"/>
        </w:rPr>
        <w:t xml:space="preserve"> of </w:t>
      </w:r>
      <w:r w:rsidR="008F18C7" w:rsidRPr="00DE15BD">
        <w:rPr>
          <w:lang w:val="en-GB"/>
        </w:rPr>
        <w:t>21 May 2018</w:t>
      </w:r>
      <w:r w:rsidR="008F18C7" w:rsidRPr="00DE15BD">
        <w:rPr>
          <w:rStyle w:val="FootnoteReference"/>
          <w:lang w:val="en-GB"/>
        </w:rPr>
        <w:footnoteReference w:id="4"/>
      </w:r>
      <w:r w:rsidRPr="00DE15BD">
        <w:rPr>
          <w:lang w:val="en-GB"/>
        </w:rPr>
        <w:t xml:space="preserve"> </w:t>
      </w:r>
      <w:r w:rsidR="00812B76" w:rsidRPr="00DE15BD">
        <w:rPr>
          <w:lang w:val="en-GB"/>
        </w:rPr>
        <w:t xml:space="preserve">on the </w:t>
      </w:r>
      <w:r w:rsidR="008F18C7" w:rsidRPr="00DE15BD">
        <w:rPr>
          <w:lang w:val="en-GB"/>
        </w:rPr>
        <w:t>“Cyprus Investment Programme</w:t>
      </w:r>
      <w:r w:rsidR="00812B76" w:rsidRPr="00DE15BD">
        <w:rPr>
          <w:lang w:val="en-GB"/>
        </w:rPr>
        <w:t>”.</w:t>
      </w:r>
    </w:p>
    <w:p w14:paraId="120D3445" w14:textId="0E5DEF7A" w:rsidR="006C7A66" w:rsidRPr="00DE15BD" w:rsidRDefault="006C7A66" w:rsidP="00E3551A">
      <w:pPr>
        <w:widowControl w:val="0"/>
        <w:spacing w:after="0" w:line="240" w:lineRule="auto"/>
        <w:jc w:val="both"/>
        <w:rPr>
          <w:b/>
          <w:bCs/>
          <w:i/>
          <w:sz w:val="22"/>
          <w:szCs w:val="22"/>
        </w:rPr>
      </w:pPr>
    </w:p>
    <w:p w14:paraId="08FB261B" w14:textId="0BEF50BB" w:rsidR="006C7A66" w:rsidRPr="00DE15BD" w:rsidRDefault="00BA5E28" w:rsidP="00FC0CA6">
      <w:pPr>
        <w:pStyle w:val="MBT"/>
        <w:rPr>
          <w:lang w:val="en-GB"/>
        </w:rPr>
      </w:pPr>
      <w:r w:rsidRPr="00DE15BD">
        <w:rPr>
          <w:lang w:val="en-GB"/>
        </w:rPr>
        <w:t xml:space="preserve">Cyprus also operates an </w:t>
      </w:r>
      <w:r w:rsidRPr="00DE15BD">
        <w:rPr>
          <w:b/>
          <w:bCs w:val="0"/>
          <w:lang w:val="en-GB"/>
        </w:rPr>
        <w:t>investors’ residence scheme</w:t>
      </w:r>
      <w:r w:rsidRPr="00DE15BD">
        <w:rPr>
          <w:lang w:val="en-GB"/>
        </w:rPr>
        <w:t xml:space="preserve">. </w:t>
      </w:r>
      <w:r w:rsidR="006C7A66" w:rsidRPr="00DE15BD">
        <w:rPr>
          <w:b/>
          <w:bCs w:val="0"/>
          <w:lang w:val="en-GB"/>
        </w:rPr>
        <w:t>Regulation 6(2) of the Aliens and Immigration Regulations of 1972 to 2013</w:t>
      </w:r>
      <w:r w:rsidR="006C7A66" w:rsidRPr="00DE15BD">
        <w:rPr>
          <w:lang w:val="en-GB"/>
        </w:rPr>
        <w:t xml:space="preserve"> provides </w:t>
      </w:r>
      <w:r w:rsidR="00F719B9" w:rsidRPr="00DE15BD">
        <w:rPr>
          <w:lang w:val="en-GB"/>
        </w:rPr>
        <w:t xml:space="preserve">that the Minister of Interior may grant a </w:t>
      </w:r>
      <w:r w:rsidR="00434C3F" w:rsidRPr="00DE15BD">
        <w:rPr>
          <w:lang w:val="en-GB"/>
        </w:rPr>
        <w:t>residence</w:t>
      </w:r>
      <w:r w:rsidR="00F719B9" w:rsidRPr="00DE15BD">
        <w:rPr>
          <w:lang w:val="en-GB"/>
        </w:rPr>
        <w:t xml:space="preserve"> permit to a migrant who does not fall under one of the categories in Regulation 5</w:t>
      </w:r>
      <w:r w:rsidR="00E3551A" w:rsidRPr="00DE15BD">
        <w:rPr>
          <w:lang w:val="en-GB"/>
        </w:rPr>
        <w:t xml:space="preserve"> (people entering Cyprus to work in agriculture, mining, farming, business, science)</w:t>
      </w:r>
      <w:r w:rsidR="00F719B9" w:rsidRPr="00DE15BD">
        <w:rPr>
          <w:lang w:val="en-GB"/>
        </w:rPr>
        <w:t>, if he thinks it is appropriate and is satisfied that the migrants’ migration is not detrimental to the inhabitants of Cyprus</w:t>
      </w:r>
      <w:r w:rsidRPr="00DE15BD">
        <w:rPr>
          <w:lang w:val="en-GB"/>
        </w:rPr>
        <w:t>.</w:t>
      </w:r>
      <w:r w:rsidR="006C7A66" w:rsidRPr="00DE15BD">
        <w:rPr>
          <w:rStyle w:val="FootnoteReference"/>
          <w:lang w:val="en-GB"/>
        </w:rPr>
        <w:footnoteReference w:id="5"/>
      </w:r>
      <w:r w:rsidR="006C7A66" w:rsidRPr="00DE15BD">
        <w:rPr>
          <w:lang w:val="en-GB"/>
        </w:rPr>
        <w:t xml:space="preserve"> </w:t>
      </w:r>
      <w:r w:rsidR="00F719B9" w:rsidRPr="00DE15BD">
        <w:rPr>
          <w:lang w:val="en-GB"/>
        </w:rPr>
        <w:t>T</w:t>
      </w:r>
      <w:r w:rsidR="006C7A66" w:rsidRPr="00DE15BD">
        <w:rPr>
          <w:lang w:val="en-GB"/>
        </w:rPr>
        <w:t>he Ministry of Interior</w:t>
      </w:r>
      <w:r w:rsidR="009B5F6A" w:rsidRPr="00DE15BD">
        <w:rPr>
          <w:lang w:val="en-GB"/>
        </w:rPr>
        <w:t>’s</w:t>
      </w:r>
      <w:r w:rsidR="006C7A66" w:rsidRPr="00DE15BD">
        <w:rPr>
          <w:lang w:val="en-GB"/>
        </w:rPr>
        <w:t xml:space="preserve"> </w:t>
      </w:r>
      <w:r w:rsidR="006C7A66" w:rsidRPr="00DE15BD">
        <w:rPr>
          <w:b/>
          <w:lang w:val="en-GB"/>
        </w:rPr>
        <w:t>Policy Document</w:t>
      </w:r>
      <w:r w:rsidR="006C7A66" w:rsidRPr="00DE15BD">
        <w:rPr>
          <w:lang w:val="en-GB"/>
        </w:rPr>
        <w:t xml:space="preserve"> </w:t>
      </w:r>
      <w:r w:rsidR="009B5F6A" w:rsidRPr="00DE15BD">
        <w:rPr>
          <w:lang w:val="en-GB"/>
        </w:rPr>
        <w:t xml:space="preserve">- </w:t>
      </w:r>
      <w:r w:rsidR="006C7A66" w:rsidRPr="00DE15BD">
        <w:rPr>
          <w:lang w:val="en-GB"/>
        </w:rPr>
        <w:t xml:space="preserve">“Criteria for granting </w:t>
      </w:r>
      <w:r w:rsidR="00434C3F" w:rsidRPr="00DE15BD">
        <w:rPr>
          <w:lang w:val="en-GB"/>
        </w:rPr>
        <w:t>a residence</w:t>
      </w:r>
      <w:r w:rsidR="006C7A66" w:rsidRPr="00DE15BD">
        <w:rPr>
          <w:lang w:val="en-GB"/>
        </w:rPr>
        <w:t xml:space="preserve"> Permit within the scope of</w:t>
      </w:r>
      <w:r w:rsidR="00F719B9" w:rsidRPr="00DE15BD">
        <w:rPr>
          <w:lang w:val="en-GB"/>
        </w:rPr>
        <w:t xml:space="preserve"> the expedited procedure </w:t>
      </w:r>
      <w:r w:rsidR="006C7A66" w:rsidRPr="00DE15BD">
        <w:rPr>
          <w:lang w:val="en-GB"/>
        </w:rPr>
        <w:t xml:space="preserve">to applicants who are third country nationals and </w:t>
      </w:r>
      <w:r w:rsidR="001B2883" w:rsidRPr="00DE15BD">
        <w:rPr>
          <w:lang w:val="en-GB"/>
        </w:rPr>
        <w:t>invest in Cyprus</w:t>
      </w:r>
      <w:r w:rsidR="006C7A66" w:rsidRPr="00DE15BD">
        <w:rPr>
          <w:lang w:val="en-GB"/>
        </w:rPr>
        <w:t>”</w:t>
      </w:r>
      <w:r w:rsidR="006C7A66" w:rsidRPr="00DE15BD">
        <w:rPr>
          <w:rStyle w:val="FootnoteReference"/>
          <w:lang w:val="en-GB"/>
        </w:rPr>
        <w:footnoteReference w:id="6"/>
      </w:r>
      <w:r w:rsidR="009B5F6A" w:rsidRPr="00DE15BD">
        <w:rPr>
          <w:lang w:val="en-GB"/>
        </w:rPr>
        <w:t xml:space="preserve"> - </w:t>
      </w:r>
      <w:r w:rsidR="006C7A66" w:rsidRPr="00DE15BD">
        <w:rPr>
          <w:lang w:val="en-GB"/>
        </w:rPr>
        <w:t xml:space="preserve">sets out the conditions to be satisfied for the Council of Ministers to decide on issuing a </w:t>
      </w:r>
      <w:r w:rsidR="00434C3F" w:rsidRPr="00DE15BD">
        <w:rPr>
          <w:lang w:val="en-GB"/>
        </w:rPr>
        <w:t>residence</w:t>
      </w:r>
      <w:r w:rsidR="006C7A66" w:rsidRPr="00DE15BD">
        <w:rPr>
          <w:lang w:val="en-GB"/>
        </w:rPr>
        <w:t xml:space="preserve"> permit to third country applicants, under the provisions of Regulation 6(2) of the Aliens and Immigration Regulations.</w:t>
      </w:r>
    </w:p>
    <w:p w14:paraId="1DF318DA" w14:textId="77777777" w:rsidR="006C7A66" w:rsidRPr="00DE15BD" w:rsidRDefault="006C7A66" w:rsidP="00FC0CA6">
      <w:pPr>
        <w:pStyle w:val="MMultilevel"/>
        <w:numPr>
          <w:ilvl w:val="0"/>
          <w:numId w:val="0"/>
        </w:numPr>
        <w:rPr>
          <w:lang w:val="en-GB"/>
        </w:rPr>
      </w:pPr>
    </w:p>
    <w:p w14:paraId="4528B969" w14:textId="38FDF698" w:rsidR="009C1D7A" w:rsidRPr="00DE15BD" w:rsidRDefault="008F18C7" w:rsidP="00B76DE6">
      <w:pPr>
        <w:pStyle w:val="MBT"/>
        <w:rPr>
          <w:lang w:val="en-GB"/>
        </w:rPr>
      </w:pPr>
      <w:r w:rsidRPr="00DE15BD">
        <w:rPr>
          <w:color w:val="000000" w:themeColor="text1"/>
          <w:lang w:val="en-GB"/>
        </w:rPr>
        <w:t xml:space="preserve">The </w:t>
      </w:r>
      <w:r w:rsidRPr="00DE15BD">
        <w:rPr>
          <w:b/>
          <w:color w:val="000000" w:themeColor="text1"/>
          <w:lang w:val="en-GB"/>
        </w:rPr>
        <w:t>competent authority</w:t>
      </w:r>
      <w:r w:rsidRPr="00DE15BD">
        <w:rPr>
          <w:color w:val="000000" w:themeColor="text1"/>
          <w:lang w:val="en-GB"/>
        </w:rPr>
        <w:t xml:space="preserve"> in Cyprus as regards </w:t>
      </w:r>
      <w:r w:rsidR="00E3551A" w:rsidRPr="00DE15BD">
        <w:rPr>
          <w:color w:val="000000" w:themeColor="text1"/>
          <w:lang w:val="en-GB"/>
        </w:rPr>
        <w:t xml:space="preserve">citizenship, </w:t>
      </w:r>
      <w:r w:rsidRPr="00DE15BD">
        <w:rPr>
          <w:color w:val="000000" w:themeColor="text1"/>
          <w:lang w:val="en-GB"/>
        </w:rPr>
        <w:t xml:space="preserve">migration and residence permits is the </w:t>
      </w:r>
      <w:r w:rsidRPr="00DE15BD">
        <w:rPr>
          <w:b/>
          <w:color w:val="000000" w:themeColor="text1"/>
          <w:lang w:val="en-GB"/>
        </w:rPr>
        <w:t>Ministry of Interior</w:t>
      </w:r>
      <w:r w:rsidRPr="00DE15BD">
        <w:rPr>
          <w:color w:val="000000" w:themeColor="text1"/>
          <w:lang w:val="en-GB"/>
        </w:rPr>
        <w:t xml:space="preserve">. The Ministry of Interior operates regionally through the </w:t>
      </w:r>
      <w:r w:rsidRPr="00DE15BD">
        <w:rPr>
          <w:b/>
          <w:color w:val="000000" w:themeColor="text1"/>
          <w:lang w:val="en-GB"/>
        </w:rPr>
        <w:t>District Administrations offices</w:t>
      </w:r>
      <w:r w:rsidRPr="00DE15BD">
        <w:rPr>
          <w:color w:val="000000" w:themeColor="text1"/>
          <w:lang w:val="en-GB"/>
        </w:rPr>
        <w:t xml:space="preserve">, which are also involved in this process to facilitate access to the services. Within </w:t>
      </w:r>
      <w:r w:rsidR="009B5F6A" w:rsidRPr="00DE15BD">
        <w:rPr>
          <w:color w:val="000000" w:themeColor="text1"/>
          <w:lang w:val="en-GB"/>
        </w:rPr>
        <w:t xml:space="preserve">this </w:t>
      </w:r>
      <w:r w:rsidRPr="00DE15BD">
        <w:rPr>
          <w:color w:val="000000" w:themeColor="text1"/>
          <w:lang w:val="en-GB"/>
        </w:rPr>
        <w:t xml:space="preserve">Ministry, the competent </w:t>
      </w:r>
      <w:r w:rsidR="00BA5E28" w:rsidRPr="00DE15BD">
        <w:rPr>
          <w:color w:val="000000" w:themeColor="text1"/>
          <w:lang w:val="en-GB"/>
        </w:rPr>
        <w:t xml:space="preserve">bodies </w:t>
      </w:r>
      <w:r w:rsidRPr="00DE15BD">
        <w:rPr>
          <w:color w:val="000000" w:themeColor="text1"/>
          <w:lang w:val="en-GB"/>
        </w:rPr>
        <w:t xml:space="preserve">are the </w:t>
      </w:r>
      <w:r w:rsidRPr="00DE15BD">
        <w:rPr>
          <w:b/>
          <w:color w:val="000000" w:themeColor="text1"/>
          <w:lang w:val="en-GB"/>
        </w:rPr>
        <w:t>Director of the Civil Registry and Migration Department</w:t>
      </w:r>
      <w:r w:rsidR="00B21C11" w:rsidRPr="00DE15BD">
        <w:rPr>
          <w:b/>
          <w:color w:val="000000" w:themeColor="text1"/>
          <w:lang w:val="en-GB"/>
        </w:rPr>
        <w:t xml:space="preserve"> (CRMD)</w:t>
      </w:r>
      <w:r w:rsidRPr="00DE15BD">
        <w:rPr>
          <w:b/>
          <w:color w:val="000000" w:themeColor="text1"/>
          <w:lang w:val="en-GB"/>
        </w:rPr>
        <w:t xml:space="preserve"> and the Director General of the Ministry of Interior</w:t>
      </w:r>
      <w:r w:rsidRPr="00DE15BD">
        <w:rPr>
          <w:color w:val="000000" w:themeColor="text1"/>
          <w:lang w:val="en-GB"/>
        </w:rPr>
        <w:t>.</w:t>
      </w:r>
      <w:r w:rsidR="000C344A" w:rsidRPr="00DE15BD">
        <w:rPr>
          <w:lang w:val="en-GB"/>
        </w:rPr>
        <w:t xml:space="preserve"> </w:t>
      </w:r>
      <w:r w:rsidR="005A2EE4" w:rsidRPr="00DE15BD">
        <w:rPr>
          <w:lang w:val="en-GB"/>
        </w:rPr>
        <w:t xml:space="preserve">Certain non-public bodies (agents), such as developers’ companies, law firms or accountancy firms are also involved in the process as facilitators preparing the application for a </w:t>
      </w:r>
      <w:r w:rsidR="00434C3F" w:rsidRPr="00DE15BD">
        <w:rPr>
          <w:lang w:val="en-GB"/>
        </w:rPr>
        <w:t>residence</w:t>
      </w:r>
      <w:r w:rsidR="005A2EE4" w:rsidRPr="00DE15BD">
        <w:rPr>
          <w:lang w:val="en-GB"/>
        </w:rPr>
        <w:t xml:space="preserve"> permit. </w:t>
      </w:r>
      <w:r w:rsidR="000C344A" w:rsidRPr="00DE15BD">
        <w:rPr>
          <w:lang w:val="en-GB"/>
        </w:rPr>
        <w:t xml:space="preserve">Under Council of Ministers Decision No. 84.068, </w:t>
      </w:r>
      <w:r w:rsidR="009B5F6A" w:rsidRPr="00DE15BD">
        <w:rPr>
          <w:lang w:val="en-GB"/>
        </w:rPr>
        <w:t>applications</w:t>
      </w:r>
      <w:r w:rsidR="000C344A" w:rsidRPr="00DE15BD">
        <w:rPr>
          <w:lang w:val="en-GB"/>
        </w:rPr>
        <w:t xml:space="preserve"> </w:t>
      </w:r>
      <w:r w:rsidR="0097224D" w:rsidRPr="00DE15BD">
        <w:rPr>
          <w:lang w:val="en-GB"/>
        </w:rPr>
        <w:t xml:space="preserve">for the citizenship scheme </w:t>
      </w:r>
      <w:r w:rsidR="000C344A" w:rsidRPr="00DE15BD">
        <w:rPr>
          <w:lang w:val="en-GB"/>
        </w:rPr>
        <w:t xml:space="preserve">may be submitted through a </w:t>
      </w:r>
      <w:r w:rsidR="000C344A" w:rsidRPr="00DE15BD">
        <w:rPr>
          <w:b/>
          <w:lang w:val="en-GB"/>
        </w:rPr>
        <w:t xml:space="preserve">registered </w:t>
      </w:r>
      <w:r w:rsidR="000C344A" w:rsidRPr="00DE15BD">
        <w:rPr>
          <w:b/>
          <w:lang w:val="en-GB"/>
        </w:rPr>
        <w:lastRenderedPageBreak/>
        <w:t>service provider</w:t>
      </w:r>
      <w:r w:rsidR="000C344A" w:rsidRPr="00DE15BD">
        <w:rPr>
          <w:lang w:val="en-GB"/>
        </w:rPr>
        <w:t xml:space="preserve">. </w:t>
      </w:r>
    </w:p>
    <w:p w14:paraId="14BFF410" w14:textId="77777777" w:rsidR="009C1D7A" w:rsidRPr="00DE15BD" w:rsidRDefault="009C1D7A" w:rsidP="00B76DE6">
      <w:pPr>
        <w:pStyle w:val="MBT"/>
        <w:rPr>
          <w:lang w:val="en-GB"/>
        </w:rPr>
      </w:pPr>
    </w:p>
    <w:p w14:paraId="32767578" w14:textId="77777777" w:rsidR="000D1C88" w:rsidRPr="00DE15BD" w:rsidRDefault="00B76DE6" w:rsidP="00B76DE6">
      <w:pPr>
        <w:pStyle w:val="MBT"/>
        <w:rPr>
          <w:lang w:val="en-GB"/>
        </w:rPr>
      </w:pPr>
      <w:r w:rsidRPr="00DE15BD">
        <w:rPr>
          <w:lang w:val="en-GB"/>
        </w:rPr>
        <w:t xml:space="preserve">Other competent bodies are the </w:t>
      </w:r>
      <w:r w:rsidRPr="00DE15BD">
        <w:rPr>
          <w:b/>
          <w:lang w:val="en-GB"/>
        </w:rPr>
        <w:t>Department of Lands and Surveys</w:t>
      </w:r>
      <w:r w:rsidRPr="00DE15BD">
        <w:rPr>
          <w:lang w:val="en-GB"/>
        </w:rPr>
        <w:t xml:space="preserve"> to officially file and submit the applicant’s sale contract, the </w:t>
      </w:r>
      <w:r w:rsidRPr="00DE15BD">
        <w:rPr>
          <w:b/>
          <w:lang w:val="en-GB"/>
        </w:rPr>
        <w:t>Cyprus Police</w:t>
      </w:r>
      <w:r w:rsidRPr="00DE15BD">
        <w:rPr>
          <w:lang w:val="en-GB"/>
        </w:rPr>
        <w:t xml:space="preserve"> for checking the criminal background of the applicants, and the </w:t>
      </w:r>
      <w:r w:rsidRPr="00DE15BD">
        <w:rPr>
          <w:b/>
          <w:lang w:val="en-GB"/>
        </w:rPr>
        <w:t>Cypriot banks</w:t>
      </w:r>
      <w:r w:rsidRPr="00DE15BD">
        <w:rPr>
          <w:lang w:val="en-GB"/>
        </w:rPr>
        <w:t xml:space="preserve"> to carry out checks on the origin of the</w:t>
      </w:r>
      <w:r w:rsidR="009C1D7A" w:rsidRPr="00DE15BD">
        <w:rPr>
          <w:lang w:val="en-GB"/>
        </w:rPr>
        <w:t xml:space="preserve"> applicant’s</w:t>
      </w:r>
      <w:r w:rsidRPr="00DE15BD">
        <w:rPr>
          <w:lang w:val="en-GB"/>
        </w:rPr>
        <w:t xml:space="preserve"> </w:t>
      </w:r>
      <w:r w:rsidR="009C1D7A" w:rsidRPr="00DE15BD">
        <w:rPr>
          <w:lang w:val="en-GB"/>
        </w:rPr>
        <w:t>money</w:t>
      </w:r>
      <w:r w:rsidRPr="00DE15BD">
        <w:rPr>
          <w:lang w:val="en-GB"/>
        </w:rPr>
        <w:t>.</w:t>
      </w:r>
    </w:p>
    <w:p w14:paraId="67BEED14" w14:textId="77777777" w:rsidR="000D1C88" w:rsidRPr="00DE15BD" w:rsidRDefault="000D1C88" w:rsidP="00B76DE6">
      <w:pPr>
        <w:pStyle w:val="MBT"/>
        <w:rPr>
          <w:lang w:val="en-GB"/>
        </w:rPr>
      </w:pPr>
    </w:p>
    <w:p w14:paraId="78D9D701" w14:textId="3AFCDCBD" w:rsidR="000C344A" w:rsidRPr="00DE15BD" w:rsidRDefault="000D1C88" w:rsidP="00B76DE6">
      <w:pPr>
        <w:pStyle w:val="MBT"/>
        <w:rPr>
          <w:lang w:val="en-GB"/>
        </w:rPr>
      </w:pPr>
      <w:r w:rsidRPr="00DE15BD">
        <w:rPr>
          <w:lang w:val="en-GB"/>
        </w:rPr>
        <w:t xml:space="preserve">The impact </w:t>
      </w:r>
      <w:r w:rsidR="00DE15BD" w:rsidRPr="00DE15BD">
        <w:rPr>
          <w:lang w:val="en-GB"/>
        </w:rPr>
        <w:t>of Council</w:t>
      </w:r>
      <w:r w:rsidRPr="00DE15BD">
        <w:rPr>
          <w:lang w:val="en-GB"/>
        </w:rPr>
        <w:t xml:space="preserve"> of Ministers Decision No. 84.068 and the following Decision 906/2018 resulted in an institutional change in </w:t>
      </w:r>
      <w:r w:rsidR="001F690A" w:rsidRPr="00DE15BD">
        <w:rPr>
          <w:lang w:val="en-GB"/>
        </w:rPr>
        <w:t xml:space="preserve">the Cypriot </w:t>
      </w:r>
      <w:r w:rsidR="00403F8B" w:rsidRPr="00DE15BD">
        <w:rPr>
          <w:lang w:val="en-GB"/>
        </w:rPr>
        <w:t>citizenship scheme and specifically</w:t>
      </w:r>
      <w:r w:rsidRPr="00DE15BD">
        <w:rPr>
          <w:lang w:val="en-GB"/>
        </w:rPr>
        <w:t xml:space="preserve"> regarding service providers (agents). </w:t>
      </w:r>
      <w:r w:rsidR="00D93A8B" w:rsidRPr="00DE15BD">
        <w:rPr>
          <w:lang w:val="en-GB"/>
        </w:rPr>
        <w:t xml:space="preserve">An equivalent change has not been made as far as the residence scheme is concerned, although many agents involved in the citizenship scheme also act as agents for the residence scheme. </w:t>
      </w:r>
      <w:r w:rsidRPr="00DE15BD">
        <w:rPr>
          <w:lang w:val="en-GB"/>
        </w:rPr>
        <w:t>The Supervisory and Control Committee</w:t>
      </w:r>
      <w:r w:rsidR="0097224D" w:rsidRPr="00DE15BD">
        <w:rPr>
          <w:lang w:val="en-GB"/>
        </w:rPr>
        <w:t xml:space="preserve"> started functioning from the 15 June 2018 according to a Ministry of Finance </w:t>
      </w:r>
      <w:r w:rsidR="00403F8B" w:rsidRPr="00DE15BD">
        <w:rPr>
          <w:lang w:val="en-GB"/>
        </w:rPr>
        <w:t>Announcement</w:t>
      </w:r>
      <w:r w:rsidR="0028475F">
        <w:rPr>
          <w:lang w:val="en-GB"/>
        </w:rPr>
        <w:t>.</w:t>
      </w:r>
      <w:r w:rsidR="00403F8B" w:rsidRPr="00DE15BD">
        <w:rPr>
          <w:lang w:val="en-GB"/>
        </w:rPr>
        <w:t xml:space="preserve"> It started accepting applications from agents on the 18 June 2018 and the Registry will be officially published on the 31 July 2018.</w:t>
      </w:r>
      <w:r w:rsidR="00403F8B" w:rsidRPr="00DE15BD">
        <w:rPr>
          <w:rStyle w:val="FootnoteReference"/>
          <w:lang w:val="en-GB"/>
        </w:rPr>
        <w:footnoteReference w:id="7"/>
      </w:r>
      <w:r w:rsidRPr="00DE15BD">
        <w:rPr>
          <w:lang w:val="en-GB"/>
        </w:rPr>
        <w:t xml:space="preserve"> The Committee is responsible to register the agents in the Investors Citizenship Providers Registry once it is established that they follow the Code of Conduct</w:t>
      </w:r>
      <w:r w:rsidR="000038B5" w:rsidRPr="00DE15BD">
        <w:rPr>
          <w:lang w:val="en-GB"/>
        </w:rPr>
        <w:t>, which came into force in July 2018</w:t>
      </w:r>
      <w:r w:rsidRPr="00DE15BD">
        <w:rPr>
          <w:lang w:val="en-GB"/>
        </w:rPr>
        <w:t>. In case the Code of Conduct is not followed agents may be removed from the registry and may not provide any services to investors under the Cyprus Investment Programme.</w:t>
      </w:r>
      <w:r w:rsidR="009F7761" w:rsidRPr="00DE15BD">
        <w:rPr>
          <w:lang w:val="en-GB"/>
        </w:rPr>
        <w:t xml:space="preserve"> This structure has only been introduce</w:t>
      </w:r>
      <w:r w:rsidR="00362B73" w:rsidRPr="00DE15BD">
        <w:rPr>
          <w:lang w:val="en-GB"/>
        </w:rPr>
        <w:t>d</w:t>
      </w:r>
      <w:r w:rsidR="009F7761" w:rsidRPr="00DE15BD">
        <w:rPr>
          <w:lang w:val="en-GB"/>
        </w:rPr>
        <w:t xml:space="preserve"> in 2018 therefore there are no available data for its implementation or adequacy.</w:t>
      </w:r>
      <w:r w:rsidR="00434C3F" w:rsidRPr="00DE15BD">
        <w:rPr>
          <w:lang w:val="en-GB"/>
        </w:rPr>
        <w:t xml:space="preserve"> </w:t>
      </w:r>
      <w:r w:rsidR="000038B5" w:rsidRPr="00DE15BD">
        <w:rPr>
          <w:lang w:val="en-GB"/>
        </w:rPr>
        <w:t xml:space="preserve">There will be more clarity once the </w:t>
      </w:r>
      <w:r w:rsidR="00D93A8B" w:rsidRPr="00DE15BD">
        <w:rPr>
          <w:lang w:val="en-GB"/>
        </w:rPr>
        <w:t>Decision has been implemented in practice for some time</w:t>
      </w:r>
      <w:r w:rsidR="000038B5" w:rsidRPr="00DE15BD">
        <w:rPr>
          <w:lang w:val="en-GB"/>
        </w:rPr>
        <w:t xml:space="preserve"> and after its assessment by the Ministry of Finance.</w:t>
      </w:r>
    </w:p>
    <w:p w14:paraId="5BD0E1F3" w14:textId="77777777" w:rsidR="008F18C7" w:rsidRPr="00DE15BD" w:rsidRDefault="008F18C7" w:rsidP="00FC0CA6">
      <w:pPr>
        <w:pStyle w:val="MMultilevel"/>
        <w:numPr>
          <w:ilvl w:val="0"/>
          <w:numId w:val="0"/>
        </w:numPr>
        <w:rPr>
          <w:lang w:val="en-GB"/>
        </w:rPr>
      </w:pPr>
    </w:p>
    <w:p w14:paraId="35495693" w14:textId="313D0CD6" w:rsidR="00970E49" w:rsidRPr="00DE15BD" w:rsidRDefault="00970E49" w:rsidP="00FC0CA6">
      <w:pPr>
        <w:spacing w:after="0" w:line="240" w:lineRule="auto"/>
        <w:jc w:val="both"/>
        <w:outlineLvl w:val="0"/>
        <w:rPr>
          <w:b/>
          <w:i/>
          <w:sz w:val="22"/>
          <w:szCs w:val="22"/>
        </w:rPr>
      </w:pPr>
      <w:r w:rsidRPr="00DE15BD">
        <w:rPr>
          <w:b/>
          <w:i/>
          <w:sz w:val="22"/>
          <w:szCs w:val="22"/>
        </w:rPr>
        <w:t>Investors’ Citizenship Schemes</w:t>
      </w:r>
    </w:p>
    <w:p w14:paraId="096C25E5" w14:textId="77777777" w:rsidR="008F7BD4" w:rsidRPr="00DE15BD" w:rsidRDefault="008F7BD4" w:rsidP="00FC0CA6">
      <w:pPr>
        <w:spacing w:after="0" w:line="240" w:lineRule="auto"/>
        <w:jc w:val="both"/>
        <w:outlineLvl w:val="0"/>
        <w:rPr>
          <w:sz w:val="22"/>
          <w:szCs w:val="22"/>
        </w:rPr>
      </w:pPr>
    </w:p>
    <w:p w14:paraId="48B0C625" w14:textId="625AC6D4" w:rsidR="000E62C0" w:rsidRPr="00DE15BD" w:rsidRDefault="000E62C0" w:rsidP="00E3551A">
      <w:pPr>
        <w:widowControl w:val="0"/>
        <w:spacing w:after="0" w:line="240" w:lineRule="auto"/>
        <w:jc w:val="both"/>
        <w:rPr>
          <w:rFonts w:eastAsia="Times New Roman"/>
          <w:bCs/>
          <w:sz w:val="22"/>
          <w:szCs w:val="22"/>
          <w:lang w:eastAsia="fr-FR"/>
        </w:rPr>
      </w:pPr>
      <w:r w:rsidRPr="00DE15BD">
        <w:rPr>
          <w:rFonts w:eastAsia="Times New Roman"/>
          <w:bCs/>
          <w:sz w:val="22"/>
          <w:szCs w:val="22"/>
          <w:lang w:eastAsia="fr-FR"/>
        </w:rPr>
        <w:t xml:space="preserve">Third-country nationals who invest in Cyprus, including their spouses/partners, children </w:t>
      </w:r>
      <w:r w:rsidR="000C5849" w:rsidRPr="00DE15BD">
        <w:rPr>
          <w:rFonts w:eastAsia="Times New Roman"/>
          <w:bCs/>
          <w:sz w:val="22"/>
          <w:szCs w:val="22"/>
          <w:lang w:eastAsia="fr-FR"/>
        </w:rPr>
        <w:t xml:space="preserve">(minor and adult) </w:t>
      </w:r>
      <w:r w:rsidRPr="00DE15BD">
        <w:rPr>
          <w:rFonts w:eastAsia="Times New Roman"/>
          <w:bCs/>
          <w:sz w:val="22"/>
          <w:szCs w:val="22"/>
          <w:lang w:eastAsia="fr-FR"/>
        </w:rPr>
        <w:t>and parents can apply for citizenship under the Cyprus Investment Programme.</w:t>
      </w:r>
      <w:r w:rsidR="00BA5E28" w:rsidRPr="00DE15BD">
        <w:rPr>
          <w:rFonts w:eastAsia="Times New Roman"/>
          <w:bCs/>
          <w:sz w:val="22"/>
          <w:szCs w:val="22"/>
          <w:lang w:eastAsia="fr-FR"/>
        </w:rPr>
        <w:t xml:space="preserve"> </w:t>
      </w:r>
      <w:r w:rsidR="00BF2A02" w:rsidRPr="00DE15BD">
        <w:rPr>
          <w:rFonts w:eastAsia="Times New Roman"/>
          <w:bCs/>
          <w:sz w:val="22"/>
          <w:szCs w:val="22"/>
          <w:lang w:eastAsia="fr-FR"/>
        </w:rPr>
        <w:t>While previously there was no limit on the number of applications it would accept, t</w:t>
      </w:r>
      <w:r w:rsidRPr="00DE15BD">
        <w:rPr>
          <w:rFonts w:eastAsia="Times New Roman"/>
          <w:bCs/>
          <w:sz w:val="22"/>
          <w:szCs w:val="22"/>
          <w:lang w:eastAsia="fr-FR"/>
        </w:rPr>
        <w:t>he Cypriot Government recently introduce</w:t>
      </w:r>
      <w:r w:rsidR="009B5F6A" w:rsidRPr="00DE15BD">
        <w:rPr>
          <w:rFonts w:eastAsia="Times New Roman"/>
          <w:bCs/>
          <w:sz w:val="22"/>
          <w:szCs w:val="22"/>
          <w:lang w:eastAsia="fr-FR"/>
        </w:rPr>
        <w:t>d</w:t>
      </w:r>
      <w:r w:rsidRPr="00DE15BD">
        <w:rPr>
          <w:rFonts w:eastAsia="Times New Roman"/>
          <w:bCs/>
          <w:sz w:val="22"/>
          <w:szCs w:val="22"/>
          <w:lang w:eastAsia="fr-FR"/>
        </w:rPr>
        <w:t xml:space="preserve"> </w:t>
      </w:r>
      <w:r w:rsidRPr="00DE15BD">
        <w:rPr>
          <w:rFonts w:eastAsia="Times New Roman"/>
          <w:b/>
          <w:bCs/>
          <w:sz w:val="22"/>
          <w:szCs w:val="22"/>
          <w:lang w:eastAsia="fr-FR"/>
        </w:rPr>
        <w:t>a cap</w:t>
      </w:r>
      <w:r w:rsidRPr="00DE15BD">
        <w:rPr>
          <w:rFonts w:eastAsia="Times New Roman"/>
          <w:bCs/>
          <w:sz w:val="22"/>
          <w:szCs w:val="22"/>
          <w:lang w:eastAsia="fr-FR"/>
        </w:rPr>
        <w:t xml:space="preserve"> limiting the </w:t>
      </w:r>
      <w:r w:rsidR="00BA5E28" w:rsidRPr="00DE15BD">
        <w:rPr>
          <w:rFonts w:eastAsia="Times New Roman"/>
          <w:bCs/>
          <w:sz w:val="22"/>
          <w:szCs w:val="22"/>
          <w:lang w:eastAsia="fr-FR"/>
        </w:rPr>
        <w:t xml:space="preserve">number of </w:t>
      </w:r>
      <w:r w:rsidRPr="00DE15BD">
        <w:rPr>
          <w:rFonts w:eastAsia="Times New Roman"/>
          <w:bCs/>
          <w:sz w:val="22"/>
          <w:szCs w:val="22"/>
          <w:lang w:eastAsia="fr-FR"/>
        </w:rPr>
        <w:t xml:space="preserve">citizenships </w:t>
      </w:r>
      <w:r w:rsidR="00EC72FC" w:rsidRPr="00DE15BD">
        <w:rPr>
          <w:rFonts w:eastAsia="Times New Roman"/>
          <w:bCs/>
          <w:sz w:val="22"/>
          <w:szCs w:val="22"/>
          <w:lang w:eastAsia="fr-FR"/>
        </w:rPr>
        <w:t xml:space="preserve">(including family members) </w:t>
      </w:r>
      <w:r w:rsidR="00BA5E28" w:rsidRPr="00DE15BD">
        <w:rPr>
          <w:rFonts w:eastAsia="Times New Roman"/>
          <w:bCs/>
          <w:sz w:val="22"/>
          <w:szCs w:val="22"/>
          <w:lang w:eastAsia="fr-FR"/>
        </w:rPr>
        <w:t xml:space="preserve">through investment </w:t>
      </w:r>
      <w:r w:rsidRPr="00DE15BD">
        <w:rPr>
          <w:rFonts w:eastAsia="Times New Roman"/>
          <w:bCs/>
          <w:sz w:val="22"/>
          <w:szCs w:val="22"/>
          <w:lang w:eastAsia="fr-FR"/>
        </w:rPr>
        <w:t>to 700 per year, as of 2018.</w:t>
      </w:r>
    </w:p>
    <w:p w14:paraId="4D1E8F20" w14:textId="61AA61CF" w:rsidR="00BE54C5" w:rsidRPr="00DE15BD" w:rsidRDefault="00BE54C5" w:rsidP="00FC0CA6">
      <w:pPr>
        <w:widowControl w:val="0"/>
        <w:spacing w:after="0" w:line="240" w:lineRule="auto"/>
        <w:jc w:val="both"/>
        <w:rPr>
          <w:rFonts w:eastAsia="Times New Roman"/>
          <w:bCs/>
          <w:sz w:val="22"/>
          <w:szCs w:val="22"/>
          <w:lang w:eastAsia="fr-FR"/>
        </w:rPr>
      </w:pPr>
    </w:p>
    <w:p w14:paraId="60773F41" w14:textId="739EF3AA" w:rsidR="00BA5E28" w:rsidRPr="00DE15BD" w:rsidRDefault="00BA5E28" w:rsidP="00FC0CA6">
      <w:pPr>
        <w:widowControl w:val="0"/>
        <w:spacing w:after="0" w:line="240" w:lineRule="auto"/>
        <w:jc w:val="both"/>
        <w:rPr>
          <w:rFonts w:eastAsia="Times New Roman"/>
          <w:bCs/>
          <w:sz w:val="22"/>
          <w:szCs w:val="22"/>
          <w:lang w:eastAsia="fr-FR"/>
        </w:rPr>
      </w:pPr>
      <w:r w:rsidRPr="00DE15BD">
        <w:rPr>
          <w:rFonts w:eastAsia="Times New Roman"/>
          <w:bCs/>
          <w:sz w:val="22"/>
          <w:szCs w:val="22"/>
          <w:lang w:eastAsia="fr-FR"/>
        </w:rPr>
        <w:t xml:space="preserve">The </w:t>
      </w:r>
      <w:r w:rsidRPr="00DE15BD">
        <w:rPr>
          <w:rFonts w:eastAsia="Times New Roman"/>
          <w:b/>
          <w:bCs/>
          <w:sz w:val="22"/>
          <w:szCs w:val="22"/>
          <w:lang w:eastAsia="fr-FR"/>
        </w:rPr>
        <w:t>application process</w:t>
      </w:r>
      <w:r w:rsidRPr="00DE15BD">
        <w:rPr>
          <w:rFonts w:eastAsia="Times New Roman"/>
          <w:bCs/>
          <w:sz w:val="22"/>
          <w:szCs w:val="22"/>
          <w:lang w:eastAsia="fr-FR"/>
        </w:rPr>
        <w:t xml:space="preserve"> consists of </w:t>
      </w:r>
      <w:r w:rsidR="00845870" w:rsidRPr="00DE15BD">
        <w:rPr>
          <w:rFonts w:eastAsia="Times New Roman"/>
          <w:bCs/>
          <w:sz w:val="22"/>
          <w:szCs w:val="22"/>
          <w:lang w:eastAsia="fr-FR"/>
        </w:rPr>
        <w:t xml:space="preserve">three stages: application for a residence permit (called “immigration permit”); gathering the documents and application for citizenship; and application for and ID card and </w:t>
      </w:r>
      <w:r w:rsidR="0028475F">
        <w:rPr>
          <w:rFonts w:eastAsia="Times New Roman"/>
          <w:bCs/>
          <w:sz w:val="22"/>
          <w:szCs w:val="22"/>
          <w:lang w:eastAsia="fr-FR"/>
        </w:rPr>
        <w:t>p</w:t>
      </w:r>
      <w:r w:rsidR="00845870" w:rsidRPr="00DE15BD">
        <w:rPr>
          <w:rFonts w:eastAsia="Times New Roman"/>
          <w:bCs/>
          <w:sz w:val="22"/>
          <w:szCs w:val="22"/>
          <w:lang w:eastAsia="fr-FR"/>
        </w:rPr>
        <w:t>assport and taking an Oath of Faith before the Cypriot authorities. The applicant only has to be physically present to collect the residence permit. The procedure is as follows:</w:t>
      </w:r>
    </w:p>
    <w:p w14:paraId="338CFCCC" w14:textId="2E3B176B" w:rsidR="00AB60FC" w:rsidRPr="00DE15BD" w:rsidRDefault="00BE54C5" w:rsidP="00FC0CA6">
      <w:pPr>
        <w:pStyle w:val="MMultilevel"/>
        <w:numPr>
          <w:ilvl w:val="0"/>
          <w:numId w:val="23"/>
        </w:numPr>
        <w:ind w:left="426"/>
        <w:rPr>
          <w:lang w:val="en-GB"/>
        </w:rPr>
      </w:pPr>
      <w:r w:rsidRPr="00DE15BD">
        <w:rPr>
          <w:lang w:val="en-GB"/>
        </w:rPr>
        <w:t xml:space="preserve">An </w:t>
      </w:r>
      <w:r w:rsidRPr="00DE15BD">
        <w:rPr>
          <w:b/>
          <w:lang w:val="en-GB"/>
        </w:rPr>
        <w:t>appointment via email</w:t>
      </w:r>
      <w:r w:rsidRPr="00DE15BD">
        <w:rPr>
          <w:lang w:val="en-GB"/>
        </w:rPr>
        <w:t xml:space="preserve"> must be arranged </w:t>
      </w:r>
      <w:r w:rsidR="00812B76" w:rsidRPr="00DE15BD">
        <w:rPr>
          <w:lang w:val="en-GB"/>
        </w:rPr>
        <w:t>with</w:t>
      </w:r>
      <w:r w:rsidRPr="00DE15BD">
        <w:rPr>
          <w:lang w:val="en-GB"/>
        </w:rPr>
        <w:t xml:space="preserve"> the </w:t>
      </w:r>
      <w:r w:rsidRPr="00DE15BD">
        <w:rPr>
          <w:b/>
          <w:lang w:val="en-GB"/>
        </w:rPr>
        <w:t>Ministry of Interior</w:t>
      </w:r>
      <w:r w:rsidRPr="00DE15BD">
        <w:rPr>
          <w:lang w:val="en-GB"/>
        </w:rPr>
        <w:t>.</w:t>
      </w:r>
    </w:p>
    <w:p w14:paraId="089911A9" w14:textId="613CFEB8" w:rsidR="00BE54C5" w:rsidRPr="00DE15BD" w:rsidRDefault="00BE54C5" w:rsidP="00FC0CA6">
      <w:pPr>
        <w:pStyle w:val="MMultilevel"/>
        <w:numPr>
          <w:ilvl w:val="0"/>
          <w:numId w:val="23"/>
        </w:numPr>
        <w:ind w:left="426"/>
        <w:rPr>
          <w:lang w:val="en-GB"/>
        </w:rPr>
      </w:pPr>
      <w:r w:rsidRPr="00DE15BD">
        <w:rPr>
          <w:lang w:val="en-GB"/>
        </w:rPr>
        <w:t xml:space="preserve">The applicant pays a fee of EUR 2,000 and submits the </w:t>
      </w:r>
      <w:r w:rsidRPr="00DE15BD">
        <w:rPr>
          <w:b/>
          <w:lang w:val="en-GB"/>
        </w:rPr>
        <w:t>application Form M127</w:t>
      </w:r>
      <w:r w:rsidRPr="00DE15BD">
        <w:rPr>
          <w:lang w:val="en-GB"/>
        </w:rPr>
        <w:t xml:space="preserve">, a letter </w:t>
      </w:r>
      <w:r w:rsidR="00D93A8B" w:rsidRPr="00DE15BD">
        <w:rPr>
          <w:lang w:val="en-GB"/>
        </w:rPr>
        <w:t xml:space="preserve">setting out the details of </w:t>
      </w:r>
      <w:r w:rsidR="00AE1EF7" w:rsidRPr="00DE15BD">
        <w:rPr>
          <w:lang w:val="en-GB"/>
        </w:rPr>
        <w:t xml:space="preserve">the </w:t>
      </w:r>
      <w:r w:rsidR="00EC72FC" w:rsidRPr="00DE15BD">
        <w:rPr>
          <w:lang w:val="en-GB"/>
        </w:rPr>
        <w:t xml:space="preserve">type and details of the </w:t>
      </w:r>
      <w:r w:rsidR="00AE1EF7" w:rsidRPr="00DE15BD">
        <w:rPr>
          <w:lang w:val="en-GB"/>
        </w:rPr>
        <w:t xml:space="preserve">investment </w:t>
      </w:r>
      <w:r w:rsidR="008233AD" w:rsidRPr="00DE15BD">
        <w:rPr>
          <w:lang w:val="en-GB"/>
        </w:rPr>
        <w:t xml:space="preserve">plus the </w:t>
      </w:r>
      <w:r w:rsidR="00AE1EF7" w:rsidRPr="00DE15BD">
        <w:rPr>
          <w:lang w:val="en-GB"/>
        </w:rPr>
        <w:t xml:space="preserve">necessary documents proving identity and residence. </w:t>
      </w:r>
      <w:r w:rsidR="00BA5E28" w:rsidRPr="00DE15BD">
        <w:rPr>
          <w:lang w:val="en-GB"/>
        </w:rPr>
        <w:t>Applicants who do</w:t>
      </w:r>
      <w:r w:rsidRPr="00DE15BD">
        <w:rPr>
          <w:lang w:val="en-GB"/>
        </w:rPr>
        <w:t xml:space="preserve"> not already hold a residence permit, may </w:t>
      </w:r>
      <w:r w:rsidR="00AE1EF7" w:rsidRPr="00DE15BD">
        <w:rPr>
          <w:lang w:val="en-GB"/>
        </w:rPr>
        <w:t xml:space="preserve">apply for a </w:t>
      </w:r>
      <w:r w:rsidR="00434C3F" w:rsidRPr="00DE15BD">
        <w:rPr>
          <w:lang w:val="en-GB"/>
        </w:rPr>
        <w:t>residence</w:t>
      </w:r>
      <w:r w:rsidR="00AE1EF7" w:rsidRPr="00DE15BD">
        <w:rPr>
          <w:lang w:val="en-GB"/>
        </w:rPr>
        <w:t xml:space="preserve"> permit</w:t>
      </w:r>
      <w:r w:rsidR="006D67C3" w:rsidRPr="00DE15BD">
        <w:rPr>
          <w:lang w:val="en-GB"/>
        </w:rPr>
        <w:t xml:space="preserve"> </w:t>
      </w:r>
      <w:r w:rsidR="00BF2A02" w:rsidRPr="00DE15BD">
        <w:rPr>
          <w:lang w:val="en-GB"/>
        </w:rPr>
        <w:t>simultaneously with the application for citizenship</w:t>
      </w:r>
      <w:r w:rsidR="00AE1EF7" w:rsidRPr="00DE15BD">
        <w:rPr>
          <w:lang w:val="en-GB"/>
        </w:rPr>
        <w:t>.</w:t>
      </w:r>
      <w:r w:rsidR="00547246" w:rsidRPr="00DE15BD">
        <w:rPr>
          <w:lang w:val="en-GB"/>
        </w:rPr>
        <w:t xml:space="preserve"> However,</w:t>
      </w:r>
      <w:r w:rsidR="0028475F">
        <w:rPr>
          <w:lang w:val="en-GB"/>
        </w:rPr>
        <w:t xml:space="preserve"> </w:t>
      </w:r>
      <w:r w:rsidR="00547246" w:rsidRPr="00DE15BD">
        <w:rPr>
          <w:lang w:val="en-GB"/>
        </w:rPr>
        <w:t xml:space="preserve">the applicant must hold a residence permit for a period of at least six months before they are granted the Cypriot citizenship. </w:t>
      </w:r>
    </w:p>
    <w:p w14:paraId="320C3146" w14:textId="6FEFD32E" w:rsidR="00BE54C5" w:rsidRPr="00DE15BD" w:rsidRDefault="00BE54C5" w:rsidP="00FC0CA6">
      <w:pPr>
        <w:pStyle w:val="MMultilevel"/>
        <w:numPr>
          <w:ilvl w:val="0"/>
          <w:numId w:val="23"/>
        </w:numPr>
        <w:ind w:left="426"/>
        <w:rPr>
          <w:bCs w:val="0"/>
          <w:lang w:val="en-GB"/>
        </w:rPr>
      </w:pPr>
      <w:r w:rsidRPr="00DE15BD">
        <w:rPr>
          <w:lang w:val="en-GB"/>
        </w:rPr>
        <w:t xml:space="preserve">The applicant also submits </w:t>
      </w:r>
      <w:r w:rsidRPr="00DE15BD">
        <w:rPr>
          <w:b/>
          <w:lang w:val="en-GB"/>
        </w:rPr>
        <w:t>documents prov</w:t>
      </w:r>
      <w:r w:rsidR="00AB60FC" w:rsidRPr="00DE15BD">
        <w:rPr>
          <w:b/>
          <w:lang w:val="en-GB"/>
        </w:rPr>
        <w:t>ing</w:t>
      </w:r>
      <w:r w:rsidRPr="00DE15BD">
        <w:rPr>
          <w:b/>
          <w:lang w:val="en-GB"/>
        </w:rPr>
        <w:t xml:space="preserve"> </w:t>
      </w:r>
      <w:r w:rsidR="00547246" w:rsidRPr="00DE15BD">
        <w:rPr>
          <w:b/>
          <w:lang w:val="en-GB"/>
        </w:rPr>
        <w:t xml:space="preserve">the </w:t>
      </w:r>
      <w:r w:rsidR="003B688A" w:rsidRPr="00DE15BD">
        <w:rPr>
          <w:b/>
          <w:lang w:val="en-GB"/>
        </w:rPr>
        <w:t>possession of property</w:t>
      </w:r>
      <w:r w:rsidRPr="00DE15BD">
        <w:rPr>
          <w:lang w:val="en-GB"/>
        </w:rPr>
        <w:t xml:space="preserve"> in Cyprus, such as Contract of Sale, Title Deeds or Proof of Registration of the contract with the </w:t>
      </w:r>
      <w:r w:rsidRPr="00DE15BD">
        <w:rPr>
          <w:b/>
          <w:lang w:val="en-GB"/>
        </w:rPr>
        <w:t>Lands and Surveys Department</w:t>
      </w:r>
      <w:r w:rsidRPr="00DE15BD">
        <w:rPr>
          <w:lang w:val="en-GB"/>
        </w:rPr>
        <w:t>, Proof of payment of the agreed purchase price and a Copy of the wire transfer to a Cypriot commercial banking institution in the name of the seller or the seller’s company</w:t>
      </w:r>
    </w:p>
    <w:p w14:paraId="012F8C78" w14:textId="2D3D24D8" w:rsidR="00AB60FC" w:rsidRPr="00DE15BD" w:rsidRDefault="00BE54C5" w:rsidP="00FC0CA6">
      <w:pPr>
        <w:pStyle w:val="MMultilevel"/>
        <w:numPr>
          <w:ilvl w:val="0"/>
          <w:numId w:val="23"/>
        </w:numPr>
        <w:ind w:left="426"/>
        <w:rPr>
          <w:bCs w:val="0"/>
          <w:lang w:val="en-GB"/>
        </w:rPr>
      </w:pPr>
      <w:r w:rsidRPr="00DE15BD">
        <w:rPr>
          <w:lang w:val="en-GB"/>
        </w:rPr>
        <w:t xml:space="preserve">Depending on the </w:t>
      </w:r>
      <w:r w:rsidR="000C344A" w:rsidRPr="00DE15BD">
        <w:rPr>
          <w:lang w:val="en-GB"/>
        </w:rPr>
        <w:t xml:space="preserve">type of </w:t>
      </w:r>
      <w:r w:rsidRPr="00DE15BD">
        <w:rPr>
          <w:lang w:val="en-GB"/>
        </w:rPr>
        <w:t xml:space="preserve">investment, the applicant submits </w:t>
      </w:r>
      <w:r w:rsidRPr="00DE15BD">
        <w:rPr>
          <w:b/>
          <w:lang w:val="en-GB"/>
        </w:rPr>
        <w:t>financial documents relevant to the investment</w:t>
      </w:r>
      <w:r w:rsidRPr="00DE15BD">
        <w:rPr>
          <w:lang w:val="en-GB"/>
        </w:rPr>
        <w:t xml:space="preserve"> and the reason for applying </w:t>
      </w:r>
      <w:r w:rsidR="00AB60FC" w:rsidRPr="00DE15BD">
        <w:rPr>
          <w:lang w:val="en-GB"/>
        </w:rPr>
        <w:t>such as</w:t>
      </w:r>
      <w:r w:rsidR="0028475F">
        <w:rPr>
          <w:lang w:val="en-GB"/>
        </w:rPr>
        <w:t xml:space="preserve"> the</w:t>
      </w:r>
      <w:r w:rsidR="00AB60FC" w:rsidRPr="00DE15BD">
        <w:rPr>
          <w:lang w:val="en-GB"/>
        </w:rPr>
        <w:t xml:space="preserve"> </w:t>
      </w:r>
      <w:r w:rsidRPr="00DE15BD">
        <w:rPr>
          <w:bCs w:val="0"/>
          <w:lang w:val="en-GB"/>
        </w:rPr>
        <w:t xml:space="preserve">Certificate of Registration of the company/companies by the </w:t>
      </w:r>
      <w:r w:rsidRPr="00DE15BD">
        <w:rPr>
          <w:b/>
          <w:bCs w:val="0"/>
          <w:lang w:val="en-GB"/>
        </w:rPr>
        <w:t>Registrar of Companies</w:t>
      </w:r>
      <w:r w:rsidR="00AB60FC" w:rsidRPr="00DE15BD">
        <w:rPr>
          <w:bCs w:val="0"/>
          <w:lang w:val="en-GB"/>
        </w:rPr>
        <w:t>, proof of real estate ownership, investment plan, copies of employment contracts and c</w:t>
      </w:r>
      <w:r w:rsidRPr="00DE15BD">
        <w:rPr>
          <w:bCs w:val="0"/>
          <w:lang w:val="en-GB"/>
        </w:rPr>
        <w:t xml:space="preserve">onfirmation from the </w:t>
      </w:r>
      <w:r w:rsidRPr="00DE15BD">
        <w:rPr>
          <w:b/>
          <w:bCs w:val="0"/>
          <w:lang w:val="en-GB"/>
        </w:rPr>
        <w:t>Social Insurance Department</w:t>
      </w:r>
      <w:r w:rsidRPr="00DE15BD">
        <w:rPr>
          <w:bCs w:val="0"/>
          <w:lang w:val="en-GB"/>
        </w:rPr>
        <w:t xml:space="preserve"> as to the insurable income of the Cypriot or </w:t>
      </w:r>
      <w:r w:rsidR="00BA5E28" w:rsidRPr="00DE15BD">
        <w:rPr>
          <w:bCs w:val="0"/>
          <w:lang w:val="en-GB"/>
        </w:rPr>
        <w:t>EU</w:t>
      </w:r>
      <w:r w:rsidRPr="00DE15BD">
        <w:rPr>
          <w:bCs w:val="0"/>
          <w:lang w:val="en-GB"/>
        </w:rPr>
        <w:t xml:space="preserve"> citizens employed in the company</w:t>
      </w:r>
      <w:r w:rsidR="00AB60FC" w:rsidRPr="00DE15BD">
        <w:rPr>
          <w:bCs w:val="0"/>
          <w:lang w:val="en-GB"/>
        </w:rPr>
        <w:t xml:space="preserve">, </w:t>
      </w:r>
      <w:r w:rsidRPr="00DE15BD">
        <w:rPr>
          <w:bCs w:val="0"/>
          <w:lang w:val="en-GB"/>
        </w:rPr>
        <w:t>Title/s and other relevant documents of the f</w:t>
      </w:r>
      <w:r w:rsidR="00AB60FC" w:rsidRPr="00DE15BD">
        <w:rPr>
          <w:bCs w:val="0"/>
          <w:lang w:val="en-GB"/>
        </w:rPr>
        <w:t>inancial assets/units purchased, Confirmation by the</w:t>
      </w:r>
      <w:r w:rsidR="00AB60FC" w:rsidRPr="00DE15BD">
        <w:rPr>
          <w:b/>
          <w:bCs w:val="0"/>
          <w:lang w:val="en-GB"/>
        </w:rPr>
        <w:t xml:space="preserve"> </w:t>
      </w:r>
      <w:r w:rsidR="00974418" w:rsidRPr="00DE15BD">
        <w:rPr>
          <w:b/>
          <w:lang w:val="en-GB"/>
        </w:rPr>
        <w:t>Cyprus Securities and Exchange Commission (CySEC)</w:t>
      </w:r>
      <w:r w:rsidR="00AB60FC" w:rsidRPr="00DE15BD">
        <w:rPr>
          <w:b/>
          <w:bCs w:val="0"/>
          <w:lang w:val="en-GB"/>
        </w:rPr>
        <w:t>,</w:t>
      </w:r>
      <w:r w:rsidR="00AB60FC" w:rsidRPr="00DE15BD">
        <w:rPr>
          <w:bCs w:val="0"/>
          <w:lang w:val="en-GB"/>
        </w:rPr>
        <w:t xml:space="preserve"> or p</w:t>
      </w:r>
      <w:r w:rsidRPr="00DE15BD">
        <w:rPr>
          <w:bCs w:val="0"/>
          <w:lang w:val="en-GB"/>
        </w:rPr>
        <w:t xml:space="preserve">roof from the </w:t>
      </w:r>
      <w:r w:rsidRPr="00DE15BD">
        <w:rPr>
          <w:b/>
          <w:bCs w:val="0"/>
          <w:lang w:val="en-GB"/>
        </w:rPr>
        <w:t>Public Debt Management Office</w:t>
      </w:r>
      <w:r w:rsidRPr="00DE15BD">
        <w:rPr>
          <w:bCs w:val="0"/>
          <w:lang w:val="en-GB"/>
        </w:rPr>
        <w:t xml:space="preserve"> for the purchase of special government bonds</w:t>
      </w:r>
      <w:r w:rsidR="00AB60FC" w:rsidRPr="00DE15BD">
        <w:rPr>
          <w:bCs w:val="0"/>
          <w:lang w:val="en-GB"/>
        </w:rPr>
        <w:t>.</w:t>
      </w:r>
    </w:p>
    <w:p w14:paraId="202FB706" w14:textId="58F91F06" w:rsidR="000C344A" w:rsidRPr="00DE15BD" w:rsidRDefault="00AB60FC" w:rsidP="00E3551A">
      <w:pPr>
        <w:pStyle w:val="MMultilevel"/>
        <w:numPr>
          <w:ilvl w:val="0"/>
          <w:numId w:val="23"/>
        </w:numPr>
        <w:ind w:left="426"/>
        <w:rPr>
          <w:lang w:val="en-GB"/>
        </w:rPr>
      </w:pPr>
      <w:r w:rsidRPr="00DE15BD">
        <w:rPr>
          <w:bCs w:val="0"/>
          <w:lang w:val="en-GB"/>
        </w:rPr>
        <w:lastRenderedPageBreak/>
        <w:t xml:space="preserve">During </w:t>
      </w:r>
      <w:r w:rsidR="00BE54C5" w:rsidRPr="00DE15BD">
        <w:rPr>
          <w:lang w:val="en-GB"/>
        </w:rPr>
        <w:t xml:space="preserve">the </w:t>
      </w:r>
      <w:r w:rsidR="00BE54C5" w:rsidRPr="00DE15BD">
        <w:rPr>
          <w:b/>
          <w:lang w:val="en-GB"/>
        </w:rPr>
        <w:t>examination process</w:t>
      </w:r>
      <w:r w:rsidRPr="00DE15BD">
        <w:rPr>
          <w:lang w:val="en-GB"/>
        </w:rPr>
        <w:t xml:space="preserve"> all </w:t>
      </w:r>
      <w:r w:rsidR="00BE54C5" w:rsidRPr="00DE15BD">
        <w:rPr>
          <w:lang w:val="en-GB"/>
        </w:rPr>
        <w:t>documents relating to the</w:t>
      </w:r>
      <w:r w:rsidR="008F757B" w:rsidRPr="00DE15BD">
        <w:rPr>
          <w:lang w:val="en-GB"/>
        </w:rPr>
        <w:t xml:space="preserve"> applicant’s</w:t>
      </w:r>
      <w:r w:rsidR="00BE54C5" w:rsidRPr="00DE15BD">
        <w:rPr>
          <w:lang w:val="en-GB"/>
        </w:rPr>
        <w:t xml:space="preserve"> business activities and investments in Cyprus are sent to the </w:t>
      </w:r>
      <w:r w:rsidR="00BE54C5" w:rsidRPr="00DE15BD">
        <w:rPr>
          <w:b/>
          <w:lang w:val="en-GB"/>
        </w:rPr>
        <w:t>Ministry of Finance</w:t>
      </w:r>
      <w:r w:rsidR="00BE54C5" w:rsidRPr="00DE15BD">
        <w:rPr>
          <w:lang w:val="en-GB"/>
        </w:rPr>
        <w:t xml:space="preserve"> for evaluation</w:t>
      </w:r>
      <w:r w:rsidR="00BA5E28" w:rsidRPr="00DE15BD">
        <w:rPr>
          <w:lang w:val="en-GB"/>
        </w:rPr>
        <w:t xml:space="preserve"> and </w:t>
      </w:r>
      <w:r w:rsidR="00BE54C5" w:rsidRPr="00DE15BD">
        <w:rPr>
          <w:lang w:val="en-GB"/>
        </w:rPr>
        <w:t xml:space="preserve">the </w:t>
      </w:r>
      <w:r w:rsidR="00BE54C5" w:rsidRPr="00DE15BD">
        <w:rPr>
          <w:b/>
          <w:lang w:val="en-GB"/>
        </w:rPr>
        <w:t>Ministry of Interior</w:t>
      </w:r>
      <w:r w:rsidR="00BE54C5" w:rsidRPr="00DE15BD">
        <w:rPr>
          <w:lang w:val="en-GB"/>
        </w:rPr>
        <w:t xml:space="preserve"> investigates whether the applicant meets the other conditions of the </w:t>
      </w:r>
      <w:r w:rsidR="00BA5E28" w:rsidRPr="00DE15BD">
        <w:rPr>
          <w:lang w:val="en-GB"/>
        </w:rPr>
        <w:t>law.</w:t>
      </w:r>
      <w:r w:rsidR="000C344A" w:rsidRPr="00DE15BD">
        <w:rPr>
          <w:lang w:val="en-GB"/>
        </w:rPr>
        <w:t xml:space="preserve"> </w:t>
      </w:r>
    </w:p>
    <w:p w14:paraId="0B445B8C" w14:textId="08A0868C" w:rsidR="00BE54C5" w:rsidRPr="00DE15BD" w:rsidRDefault="00BE54C5" w:rsidP="00E3551A">
      <w:pPr>
        <w:pStyle w:val="MMultilevel"/>
        <w:numPr>
          <w:ilvl w:val="0"/>
          <w:numId w:val="23"/>
        </w:numPr>
        <w:ind w:left="426"/>
        <w:rPr>
          <w:lang w:val="en-GB"/>
        </w:rPr>
      </w:pPr>
      <w:r w:rsidRPr="00DE15BD">
        <w:rPr>
          <w:lang w:val="en-GB"/>
        </w:rPr>
        <w:t xml:space="preserve">If the applicant meets the </w:t>
      </w:r>
      <w:r w:rsidR="00BA5E28" w:rsidRPr="00DE15BD">
        <w:rPr>
          <w:lang w:val="en-GB"/>
        </w:rPr>
        <w:t xml:space="preserve">criteria </w:t>
      </w:r>
      <w:r w:rsidRPr="00DE15BD">
        <w:rPr>
          <w:lang w:val="en-GB"/>
        </w:rPr>
        <w:t xml:space="preserve">and </w:t>
      </w:r>
      <w:r w:rsidR="00BA5E28" w:rsidRPr="00DE15BD">
        <w:rPr>
          <w:lang w:val="en-GB"/>
        </w:rPr>
        <w:t>conditions</w:t>
      </w:r>
      <w:r w:rsidRPr="00DE15BD">
        <w:rPr>
          <w:lang w:val="en-GB"/>
        </w:rPr>
        <w:t xml:space="preserve">, the </w:t>
      </w:r>
      <w:r w:rsidRPr="00DE15BD">
        <w:rPr>
          <w:b/>
          <w:lang w:val="en-GB"/>
        </w:rPr>
        <w:t>Minister of Interior</w:t>
      </w:r>
      <w:r w:rsidRPr="00DE15BD">
        <w:rPr>
          <w:lang w:val="en-GB"/>
        </w:rPr>
        <w:t xml:space="preserve"> presents the case to the </w:t>
      </w:r>
      <w:r w:rsidRPr="00DE15BD">
        <w:rPr>
          <w:b/>
          <w:lang w:val="en-GB"/>
        </w:rPr>
        <w:t>Council of Ministers</w:t>
      </w:r>
      <w:r w:rsidRPr="00DE15BD">
        <w:rPr>
          <w:lang w:val="en-GB"/>
        </w:rPr>
        <w:t xml:space="preserve"> for final decision. </w:t>
      </w:r>
    </w:p>
    <w:p w14:paraId="43DA3732" w14:textId="056766D4" w:rsidR="000C344A" w:rsidRPr="00DE15BD" w:rsidRDefault="000C344A" w:rsidP="00FC0CA6">
      <w:pPr>
        <w:pStyle w:val="MMultilevel"/>
        <w:numPr>
          <w:ilvl w:val="0"/>
          <w:numId w:val="23"/>
        </w:numPr>
        <w:ind w:left="426"/>
        <w:rPr>
          <w:lang w:val="en-GB"/>
        </w:rPr>
      </w:pPr>
      <w:r w:rsidRPr="00DE15BD">
        <w:rPr>
          <w:lang w:val="en-GB"/>
        </w:rPr>
        <w:t xml:space="preserve">Once the application is approved, the applicant will be able to take all actions for </w:t>
      </w:r>
      <w:r w:rsidR="008F757B" w:rsidRPr="00DE15BD">
        <w:rPr>
          <w:b/>
          <w:lang w:val="en-GB"/>
        </w:rPr>
        <w:t xml:space="preserve">obtaining </w:t>
      </w:r>
      <w:r w:rsidRPr="00DE15BD">
        <w:rPr>
          <w:b/>
          <w:lang w:val="en-GB"/>
        </w:rPr>
        <w:t xml:space="preserve">citizenship and a Cypriot passport </w:t>
      </w:r>
      <w:r w:rsidRPr="00DE15BD">
        <w:rPr>
          <w:lang w:val="en-GB"/>
        </w:rPr>
        <w:t xml:space="preserve">namely, payment of a fee of EUR 5,000 for the </w:t>
      </w:r>
      <w:r w:rsidRPr="00DE15BD">
        <w:rPr>
          <w:b/>
          <w:lang w:val="en-GB"/>
        </w:rPr>
        <w:t>Naturalisation Certificate</w:t>
      </w:r>
      <w:r w:rsidRPr="00DE15BD">
        <w:rPr>
          <w:lang w:val="en-GB"/>
        </w:rPr>
        <w:t xml:space="preserve"> </w:t>
      </w:r>
      <w:r w:rsidR="008F757B" w:rsidRPr="00DE15BD">
        <w:rPr>
          <w:lang w:val="en-GB"/>
        </w:rPr>
        <w:t xml:space="preserve">from </w:t>
      </w:r>
      <w:r w:rsidRPr="00DE15BD">
        <w:rPr>
          <w:lang w:val="en-GB"/>
        </w:rPr>
        <w:t xml:space="preserve">the </w:t>
      </w:r>
      <w:r w:rsidR="008F757B" w:rsidRPr="00DE15BD">
        <w:rPr>
          <w:b/>
          <w:lang w:val="en-GB"/>
        </w:rPr>
        <w:t>CRMD</w:t>
      </w:r>
      <w:r w:rsidRPr="00DE15BD">
        <w:rPr>
          <w:b/>
          <w:lang w:val="en-GB"/>
        </w:rPr>
        <w:t xml:space="preserve"> </w:t>
      </w:r>
      <w:r w:rsidRPr="00DE15BD">
        <w:rPr>
          <w:lang w:val="en-GB"/>
        </w:rPr>
        <w:t xml:space="preserve">and taking the </w:t>
      </w:r>
      <w:r w:rsidRPr="00DE15BD">
        <w:rPr>
          <w:b/>
          <w:lang w:val="en-GB"/>
        </w:rPr>
        <w:t>Oath of Faith</w:t>
      </w:r>
      <w:r w:rsidRPr="00DE15BD">
        <w:rPr>
          <w:lang w:val="en-GB"/>
        </w:rPr>
        <w:t xml:space="preserve"> before a </w:t>
      </w:r>
      <w:r w:rsidRPr="00DE15BD">
        <w:rPr>
          <w:b/>
          <w:lang w:val="en-GB"/>
        </w:rPr>
        <w:t>Registrar of a Cypriot court</w:t>
      </w:r>
      <w:r w:rsidRPr="00DE15BD">
        <w:rPr>
          <w:lang w:val="en-GB"/>
        </w:rPr>
        <w:t xml:space="preserve"> or a </w:t>
      </w:r>
      <w:r w:rsidRPr="00DE15BD">
        <w:rPr>
          <w:b/>
          <w:lang w:val="en-GB"/>
        </w:rPr>
        <w:t>consular officer</w:t>
      </w:r>
      <w:r w:rsidRPr="00DE15BD">
        <w:rPr>
          <w:lang w:val="en-GB"/>
        </w:rPr>
        <w:t xml:space="preserve"> of the Republic of Cyprus. </w:t>
      </w:r>
    </w:p>
    <w:p w14:paraId="017751B5" w14:textId="6F743478" w:rsidR="00BE54C5" w:rsidRPr="00DE15BD" w:rsidRDefault="00AB60FC" w:rsidP="00FC0CA6">
      <w:pPr>
        <w:pStyle w:val="MMultilevel"/>
        <w:numPr>
          <w:ilvl w:val="0"/>
          <w:numId w:val="23"/>
        </w:numPr>
        <w:ind w:left="426"/>
        <w:rPr>
          <w:lang w:val="en-GB"/>
        </w:rPr>
      </w:pPr>
      <w:r w:rsidRPr="00DE15BD">
        <w:rPr>
          <w:lang w:val="en-GB"/>
        </w:rPr>
        <w:t xml:space="preserve">The applicant may then apply for the </w:t>
      </w:r>
      <w:r w:rsidR="00BE54C5" w:rsidRPr="00DE15BD">
        <w:rPr>
          <w:lang w:val="en-GB"/>
        </w:rPr>
        <w:t>Cypriot passport and Identity Card</w:t>
      </w:r>
      <w:r w:rsidRPr="00DE15BD">
        <w:rPr>
          <w:lang w:val="en-GB"/>
        </w:rPr>
        <w:t xml:space="preserve">, after providing </w:t>
      </w:r>
      <w:r w:rsidR="00BE54C5" w:rsidRPr="00DE15BD">
        <w:rPr>
          <w:lang w:val="en-GB"/>
        </w:rPr>
        <w:t xml:space="preserve">biometric data, at </w:t>
      </w:r>
      <w:r w:rsidR="00BE54C5" w:rsidRPr="00DE15BD">
        <w:rPr>
          <w:b/>
          <w:lang w:val="en-GB"/>
        </w:rPr>
        <w:t>Local Administrations</w:t>
      </w:r>
      <w:r w:rsidR="00BE54C5" w:rsidRPr="00DE15BD">
        <w:rPr>
          <w:lang w:val="en-GB"/>
        </w:rPr>
        <w:t xml:space="preserve"> or at the </w:t>
      </w:r>
      <w:r w:rsidR="00BE54C5" w:rsidRPr="00DE15BD">
        <w:rPr>
          <w:b/>
          <w:lang w:val="en-GB"/>
        </w:rPr>
        <w:t>Citizens Service Centres</w:t>
      </w:r>
      <w:r w:rsidR="00BE54C5" w:rsidRPr="00DE15BD">
        <w:rPr>
          <w:lang w:val="en-GB"/>
        </w:rPr>
        <w:t xml:space="preserve"> or at the </w:t>
      </w:r>
      <w:r w:rsidR="00BE54C5" w:rsidRPr="00DE15BD">
        <w:rPr>
          <w:b/>
          <w:lang w:val="en-GB"/>
        </w:rPr>
        <w:t>Department of Immigration</w:t>
      </w:r>
      <w:r w:rsidR="00BE54C5" w:rsidRPr="00DE15BD">
        <w:rPr>
          <w:lang w:val="en-GB"/>
        </w:rPr>
        <w:t xml:space="preserve"> when the application concerns</w:t>
      </w:r>
      <w:r w:rsidR="00974418" w:rsidRPr="00DE15BD">
        <w:rPr>
          <w:lang w:val="en-GB"/>
        </w:rPr>
        <w:t xml:space="preserve"> the fast issuing of a passport, or</w:t>
      </w:r>
      <w:r w:rsidR="00BE54C5" w:rsidRPr="00DE15BD">
        <w:rPr>
          <w:lang w:val="en-GB"/>
        </w:rPr>
        <w:t xml:space="preserve"> at </w:t>
      </w:r>
      <w:r w:rsidR="00BE54C5" w:rsidRPr="00DE15BD">
        <w:rPr>
          <w:b/>
          <w:lang w:val="en-GB"/>
        </w:rPr>
        <w:t>embassies or consulates of the Republic of Cyprus</w:t>
      </w:r>
      <w:r w:rsidR="00974418" w:rsidRPr="00DE15BD">
        <w:rPr>
          <w:lang w:val="en-GB"/>
        </w:rPr>
        <w:t>.</w:t>
      </w:r>
    </w:p>
    <w:p w14:paraId="479BF4DA" w14:textId="77777777" w:rsidR="006D67C3" w:rsidRPr="00DE15BD" w:rsidRDefault="006D67C3" w:rsidP="00FC0CA6">
      <w:pPr>
        <w:pStyle w:val="MMultilevel"/>
        <w:numPr>
          <w:ilvl w:val="0"/>
          <w:numId w:val="0"/>
        </w:numPr>
        <w:rPr>
          <w:lang w:val="en-GB"/>
        </w:rPr>
      </w:pPr>
    </w:p>
    <w:p w14:paraId="248F5EBA" w14:textId="677F3812" w:rsidR="000C344A" w:rsidRPr="00DE15BD" w:rsidRDefault="000C344A" w:rsidP="00FC0CA6">
      <w:pPr>
        <w:pStyle w:val="MMultilevel"/>
        <w:numPr>
          <w:ilvl w:val="0"/>
          <w:numId w:val="0"/>
        </w:numPr>
        <w:rPr>
          <w:lang w:val="en-GB"/>
        </w:rPr>
      </w:pPr>
      <w:r w:rsidRPr="00DE15BD">
        <w:rPr>
          <w:lang w:val="en-GB"/>
        </w:rPr>
        <w:t xml:space="preserve">The </w:t>
      </w:r>
      <w:r w:rsidRPr="00DE15BD">
        <w:rPr>
          <w:b/>
          <w:lang w:val="en-GB"/>
        </w:rPr>
        <w:t xml:space="preserve">investment requirement </w:t>
      </w:r>
      <w:r w:rsidRPr="00DE15BD">
        <w:rPr>
          <w:lang w:val="en-GB"/>
        </w:rPr>
        <w:t>is fulfilled through one of the following routes:</w:t>
      </w:r>
    </w:p>
    <w:p w14:paraId="779C1060" w14:textId="0C5D182B" w:rsidR="00754D87" w:rsidRPr="00DE15BD" w:rsidRDefault="00754D87" w:rsidP="00FC0CA6">
      <w:pPr>
        <w:pStyle w:val="MMultilevel"/>
        <w:rPr>
          <w:lang w:val="en-GB"/>
        </w:rPr>
      </w:pPr>
      <w:r w:rsidRPr="00DE15BD">
        <w:rPr>
          <w:b/>
          <w:lang w:val="en-GB"/>
        </w:rPr>
        <w:t>Investment in real estate, land development and infrastructure projects:</w:t>
      </w:r>
      <w:r w:rsidRPr="00DE15BD">
        <w:rPr>
          <w:lang w:val="en-GB"/>
        </w:rPr>
        <w:t xml:space="preserve"> </w:t>
      </w:r>
      <w:r w:rsidR="000C344A" w:rsidRPr="00DE15BD">
        <w:rPr>
          <w:lang w:val="en-GB"/>
        </w:rPr>
        <w:t>Applicants must invest</w:t>
      </w:r>
      <w:r w:rsidRPr="00DE15BD">
        <w:rPr>
          <w:lang w:val="en-GB"/>
        </w:rPr>
        <w:t xml:space="preserve"> </w:t>
      </w:r>
      <w:r w:rsidRPr="00DE15BD">
        <w:rPr>
          <w:b/>
          <w:lang w:val="en-GB"/>
        </w:rPr>
        <w:t>at least</w:t>
      </w:r>
      <w:r w:rsidRPr="00DE15BD">
        <w:rPr>
          <w:lang w:val="en-GB"/>
        </w:rPr>
        <w:t xml:space="preserve"> </w:t>
      </w:r>
      <w:r w:rsidRPr="00DE15BD">
        <w:rPr>
          <w:b/>
          <w:lang w:val="en-GB"/>
        </w:rPr>
        <w:t>EUR 2 million</w:t>
      </w:r>
      <w:r w:rsidRPr="00DE15BD">
        <w:rPr>
          <w:lang w:val="en-GB"/>
        </w:rPr>
        <w:t xml:space="preserve"> for the purchase or construction of buildings or for the construction of other land development projects or other infrastructure projects. </w:t>
      </w:r>
      <w:r w:rsidR="009A5D76" w:rsidRPr="00DE15BD">
        <w:rPr>
          <w:lang w:val="en-GB"/>
        </w:rPr>
        <w:t xml:space="preserve">The </w:t>
      </w:r>
      <w:r w:rsidRPr="00DE15BD">
        <w:rPr>
          <w:lang w:val="en-GB"/>
        </w:rPr>
        <w:t xml:space="preserve">investor must </w:t>
      </w:r>
      <w:r w:rsidR="008C0724" w:rsidRPr="00DE15BD">
        <w:rPr>
          <w:lang w:val="en-GB"/>
        </w:rPr>
        <w:t xml:space="preserve">retain ownership of </w:t>
      </w:r>
      <w:r w:rsidRPr="00DE15BD">
        <w:rPr>
          <w:lang w:val="en-GB"/>
        </w:rPr>
        <w:t>the building for at least three</w:t>
      </w:r>
      <w:r w:rsidR="000C344A" w:rsidRPr="00DE15BD">
        <w:rPr>
          <w:lang w:val="en-GB"/>
        </w:rPr>
        <w:t xml:space="preserve"> </w:t>
      </w:r>
      <w:r w:rsidRPr="00DE15BD">
        <w:rPr>
          <w:lang w:val="en-GB"/>
        </w:rPr>
        <w:t>years starting from issu</w:t>
      </w:r>
      <w:r w:rsidR="000C344A" w:rsidRPr="00DE15BD">
        <w:rPr>
          <w:lang w:val="en-GB"/>
        </w:rPr>
        <w:t>ance</w:t>
      </w:r>
      <w:r w:rsidRPr="00DE15BD">
        <w:rPr>
          <w:lang w:val="en-GB"/>
        </w:rPr>
        <w:t xml:space="preserve"> of the building permit.</w:t>
      </w:r>
    </w:p>
    <w:p w14:paraId="259E276B" w14:textId="6CF13380" w:rsidR="00754D87" w:rsidRPr="00DE15BD" w:rsidRDefault="00754D87" w:rsidP="00FC0CA6">
      <w:pPr>
        <w:pStyle w:val="MMultilevel"/>
        <w:rPr>
          <w:lang w:val="en-GB"/>
        </w:rPr>
      </w:pPr>
      <w:r w:rsidRPr="00DE15BD">
        <w:rPr>
          <w:b/>
          <w:lang w:val="en-GB"/>
        </w:rPr>
        <w:t>Purchase</w:t>
      </w:r>
      <w:r w:rsidR="000C344A" w:rsidRPr="00DE15BD">
        <w:rPr>
          <w:b/>
          <w:lang w:val="en-GB"/>
        </w:rPr>
        <w:t>,</w:t>
      </w:r>
      <w:r w:rsidRPr="00DE15BD">
        <w:rPr>
          <w:b/>
          <w:lang w:val="en-GB"/>
        </w:rPr>
        <w:t xml:space="preserve"> Establishment or Participation in Cypriot Companies or Businesses:</w:t>
      </w:r>
      <w:r w:rsidRPr="00DE15BD">
        <w:rPr>
          <w:lang w:val="en-GB"/>
        </w:rPr>
        <w:t xml:space="preserve"> </w:t>
      </w:r>
      <w:r w:rsidR="000C344A" w:rsidRPr="00DE15BD">
        <w:rPr>
          <w:lang w:val="en-GB"/>
        </w:rPr>
        <w:t xml:space="preserve">Applicants must </w:t>
      </w:r>
      <w:r w:rsidRPr="00DE15BD">
        <w:rPr>
          <w:lang w:val="en-GB"/>
        </w:rPr>
        <w:t xml:space="preserve">purchase or </w:t>
      </w:r>
      <w:r w:rsidR="000C344A" w:rsidRPr="00DE15BD">
        <w:rPr>
          <w:lang w:val="en-GB"/>
        </w:rPr>
        <w:t>participate</w:t>
      </w:r>
      <w:r w:rsidRPr="00DE15BD">
        <w:rPr>
          <w:lang w:val="en-GB"/>
        </w:rPr>
        <w:t xml:space="preserve"> in companies or organi</w:t>
      </w:r>
      <w:r w:rsidR="0028475F">
        <w:rPr>
          <w:lang w:val="en-GB"/>
        </w:rPr>
        <w:t>s</w:t>
      </w:r>
      <w:r w:rsidRPr="00DE15BD">
        <w:rPr>
          <w:lang w:val="en-GB"/>
        </w:rPr>
        <w:t xml:space="preserve">ations established and operating in Cyprus with investment costs of </w:t>
      </w:r>
      <w:r w:rsidRPr="00DE15BD">
        <w:rPr>
          <w:b/>
          <w:lang w:val="en-GB"/>
        </w:rPr>
        <w:t>at least EUR 2 million</w:t>
      </w:r>
      <w:r w:rsidRPr="00DE15BD">
        <w:rPr>
          <w:lang w:val="en-GB"/>
        </w:rPr>
        <w:t xml:space="preserve">. </w:t>
      </w:r>
      <w:r w:rsidR="000C344A" w:rsidRPr="00DE15BD">
        <w:rPr>
          <w:lang w:val="en-GB"/>
        </w:rPr>
        <w:t>A</w:t>
      </w:r>
      <w:r w:rsidR="009A5D76" w:rsidRPr="00DE15BD">
        <w:rPr>
          <w:lang w:val="en-GB"/>
        </w:rPr>
        <w:t>pplications are evaluated to verify that the companies or organi</w:t>
      </w:r>
      <w:r w:rsidR="0028475F">
        <w:rPr>
          <w:lang w:val="en-GB"/>
        </w:rPr>
        <w:t>s</w:t>
      </w:r>
      <w:r w:rsidR="009A5D76" w:rsidRPr="00DE15BD">
        <w:rPr>
          <w:lang w:val="en-GB"/>
        </w:rPr>
        <w:t xml:space="preserve">ations have proven physical presence in Cyprus, with significant activity and turnover and employ at least five Cypriots or citizens of </w:t>
      </w:r>
      <w:r w:rsidR="000C344A" w:rsidRPr="00DE15BD">
        <w:rPr>
          <w:lang w:val="en-GB"/>
        </w:rPr>
        <w:t>other EU</w:t>
      </w:r>
      <w:r w:rsidR="009A5D76" w:rsidRPr="00DE15BD">
        <w:rPr>
          <w:lang w:val="en-GB"/>
        </w:rPr>
        <w:t xml:space="preserve"> Member States. </w:t>
      </w:r>
    </w:p>
    <w:p w14:paraId="57B2D890" w14:textId="2E45BD7C" w:rsidR="00754D87" w:rsidRPr="00DE15BD" w:rsidRDefault="00754D87" w:rsidP="00FC0CA6">
      <w:pPr>
        <w:pStyle w:val="MMultilevel"/>
        <w:rPr>
          <w:lang w:val="en-GB"/>
        </w:rPr>
      </w:pPr>
      <w:r w:rsidRPr="00DE15BD">
        <w:rPr>
          <w:b/>
          <w:lang w:val="en-GB"/>
        </w:rPr>
        <w:t xml:space="preserve">Investment in Alternative Investment Funds </w:t>
      </w:r>
      <w:r w:rsidR="00B53BC0" w:rsidRPr="00DE15BD">
        <w:rPr>
          <w:b/>
          <w:lang w:val="en-GB"/>
        </w:rPr>
        <w:t xml:space="preserve">(AIFs) </w:t>
      </w:r>
      <w:r w:rsidRPr="00DE15BD">
        <w:rPr>
          <w:b/>
          <w:lang w:val="en-GB"/>
        </w:rPr>
        <w:t>or financial assets of Cypriot companies or Cypriot organizations that are licensed by CySec:</w:t>
      </w:r>
      <w:r w:rsidR="009A5D76" w:rsidRPr="00DE15BD">
        <w:rPr>
          <w:lang w:val="en-GB"/>
        </w:rPr>
        <w:t xml:space="preserve"> </w:t>
      </w:r>
      <w:r w:rsidR="000C344A" w:rsidRPr="00DE15BD">
        <w:rPr>
          <w:lang w:val="en-GB"/>
        </w:rPr>
        <w:t>Applican</w:t>
      </w:r>
      <w:r w:rsidR="00B53BC0" w:rsidRPr="00DE15BD">
        <w:rPr>
          <w:lang w:val="en-GB"/>
        </w:rPr>
        <w:t>ts must buy</w:t>
      </w:r>
      <w:r w:rsidRPr="00DE15BD">
        <w:rPr>
          <w:lang w:val="en-GB"/>
        </w:rPr>
        <w:t xml:space="preserve"> units of </w:t>
      </w:r>
      <w:r w:rsidRPr="00DE15BD">
        <w:rPr>
          <w:b/>
          <w:lang w:val="en-GB"/>
        </w:rPr>
        <w:t>at least EUR 2 million</w:t>
      </w:r>
      <w:r w:rsidRPr="00DE15BD">
        <w:rPr>
          <w:lang w:val="en-GB"/>
        </w:rPr>
        <w:t xml:space="preserve"> AIF</w:t>
      </w:r>
      <w:r w:rsidR="00B53BC0" w:rsidRPr="00DE15BD">
        <w:rPr>
          <w:lang w:val="en-GB"/>
        </w:rPr>
        <w:t xml:space="preserve">s </w:t>
      </w:r>
      <w:r w:rsidRPr="00DE15BD">
        <w:rPr>
          <w:lang w:val="en-GB"/>
        </w:rPr>
        <w:t xml:space="preserve">established in Cyprus, licensed and supervised by the CySec and whose investments are made exclusively in Cyprus, in investments </w:t>
      </w:r>
      <w:r w:rsidR="00B53BC0" w:rsidRPr="00DE15BD">
        <w:rPr>
          <w:lang w:val="en-GB"/>
        </w:rPr>
        <w:t>meeting</w:t>
      </w:r>
      <w:r w:rsidRPr="00DE15BD">
        <w:rPr>
          <w:lang w:val="en-GB"/>
        </w:rPr>
        <w:t xml:space="preserve"> the criteria of </w:t>
      </w:r>
      <w:r w:rsidR="00B53BC0" w:rsidRPr="00DE15BD">
        <w:rPr>
          <w:lang w:val="en-GB"/>
        </w:rPr>
        <w:t>the s</w:t>
      </w:r>
      <w:r w:rsidRPr="00DE15BD">
        <w:rPr>
          <w:lang w:val="en-GB"/>
        </w:rPr>
        <w:t xml:space="preserve">cheme or in areas approved by the Minister of Finance. </w:t>
      </w:r>
      <w:r w:rsidR="009A5D76" w:rsidRPr="00DE15BD">
        <w:rPr>
          <w:lang w:val="en-GB"/>
        </w:rPr>
        <w:t>T</w:t>
      </w:r>
      <w:r w:rsidRPr="00DE15BD">
        <w:rPr>
          <w:lang w:val="en-GB"/>
        </w:rPr>
        <w:t xml:space="preserve">he manager or the auditor of the Fund must inform in writing and on an annual basis, the Ministries of Finance and Interior with reference to the value of the initial investment. </w:t>
      </w:r>
    </w:p>
    <w:p w14:paraId="30409CA8" w14:textId="712FF95D" w:rsidR="00754D87" w:rsidRPr="00DE15BD" w:rsidRDefault="00754D87" w:rsidP="00FC0CA6">
      <w:pPr>
        <w:pStyle w:val="MMultilevel"/>
        <w:rPr>
          <w:lang w:val="en-GB"/>
        </w:rPr>
      </w:pPr>
      <w:r w:rsidRPr="00DE15BD">
        <w:rPr>
          <w:b/>
          <w:lang w:val="en-GB"/>
        </w:rPr>
        <w:t>Combination of the aforementioned investments:</w:t>
      </w:r>
      <w:r w:rsidRPr="00DE15BD">
        <w:rPr>
          <w:lang w:val="en-GB"/>
        </w:rPr>
        <w:t xml:space="preserve"> </w:t>
      </w:r>
      <w:r w:rsidR="00B53BC0" w:rsidRPr="00DE15BD">
        <w:rPr>
          <w:lang w:val="en-GB"/>
        </w:rPr>
        <w:t>Applicants</w:t>
      </w:r>
      <w:r w:rsidRPr="00DE15BD">
        <w:rPr>
          <w:lang w:val="en-GB"/>
        </w:rPr>
        <w:t xml:space="preserve"> may </w:t>
      </w:r>
      <w:r w:rsidR="00112E59" w:rsidRPr="00DE15BD">
        <w:rPr>
          <w:lang w:val="en-GB"/>
        </w:rPr>
        <w:t xml:space="preserve">combine investments, </w:t>
      </w:r>
      <w:r w:rsidRPr="00DE15BD">
        <w:rPr>
          <w:lang w:val="en-GB"/>
        </w:rPr>
        <w:t xml:space="preserve">provided that the total investment amounts to </w:t>
      </w:r>
      <w:r w:rsidRPr="00DE15BD">
        <w:rPr>
          <w:b/>
          <w:lang w:val="en-GB"/>
        </w:rPr>
        <w:t>at least EUR 2 million</w:t>
      </w:r>
      <w:r w:rsidRPr="00DE15BD">
        <w:rPr>
          <w:lang w:val="en-GB"/>
        </w:rPr>
        <w:t xml:space="preserve">. </w:t>
      </w:r>
      <w:r w:rsidR="00B53BC0" w:rsidRPr="00DE15BD">
        <w:rPr>
          <w:lang w:val="en-GB"/>
        </w:rPr>
        <w:t>They</w:t>
      </w:r>
      <w:r w:rsidRPr="00DE15BD">
        <w:rPr>
          <w:lang w:val="en-GB"/>
        </w:rPr>
        <w:t xml:space="preserve"> may purchase special government bonds of Cyprus, </w:t>
      </w:r>
      <w:r w:rsidRPr="00DE15BD">
        <w:rPr>
          <w:b/>
          <w:lang w:val="en-GB"/>
        </w:rPr>
        <w:t>up to EUR 500,000,</w:t>
      </w:r>
      <w:r w:rsidRPr="00DE15BD">
        <w:rPr>
          <w:lang w:val="en-GB"/>
        </w:rPr>
        <w:t xml:space="preserve"> which will be issued by the </w:t>
      </w:r>
      <w:r w:rsidRPr="00DE15BD">
        <w:rPr>
          <w:b/>
          <w:lang w:val="en-GB"/>
        </w:rPr>
        <w:t>Public Debt Management Office of the Ministry of Finance</w:t>
      </w:r>
      <w:r w:rsidRPr="00DE15BD">
        <w:rPr>
          <w:lang w:val="en-GB"/>
        </w:rPr>
        <w:t xml:space="preserve">, on condition that the investor </w:t>
      </w:r>
      <w:r w:rsidR="00B53BC0" w:rsidRPr="00DE15BD">
        <w:rPr>
          <w:lang w:val="en-GB"/>
        </w:rPr>
        <w:t>retains</w:t>
      </w:r>
      <w:r w:rsidRPr="00DE15BD">
        <w:rPr>
          <w:lang w:val="en-GB"/>
        </w:rPr>
        <w:t xml:space="preserve"> these bonds for a </w:t>
      </w:r>
      <w:r w:rsidR="00B53BC0" w:rsidRPr="00DE15BD">
        <w:rPr>
          <w:lang w:val="en-GB"/>
        </w:rPr>
        <w:t>three-year</w:t>
      </w:r>
      <w:r w:rsidRPr="00DE15BD">
        <w:rPr>
          <w:lang w:val="en-GB"/>
        </w:rPr>
        <w:t xml:space="preserve"> period. </w:t>
      </w:r>
    </w:p>
    <w:p w14:paraId="1772F1A5" w14:textId="77777777" w:rsidR="00B53BC0" w:rsidRPr="00DE15BD" w:rsidRDefault="00B53BC0" w:rsidP="00E3551A">
      <w:pPr>
        <w:pStyle w:val="MMultilevel"/>
        <w:numPr>
          <w:ilvl w:val="0"/>
          <w:numId w:val="0"/>
        </w:numPr>
        <w:rPr>
          <w:lang w:val="en-GB"/>
        </w:rPr>
      </w:pPr>
    </w:p>
    <w:p w14:paraId="501D5A9C" w14:textId="57E52352" w:rsidR="007F70A9" w:rsidRPr="00DE15BD" w:rsidRDefault="00B53BC0" w:rsidP="00E3551A">
      <w:pPr>
        <w:pStyle w:val="MMultilevel"/>
        <w:numPr>
          <w:ilvl w:val="0"/>
          <w:numId w:val="0"/>
        </w:numPr>
        <w:rPr>
          <w:lang w:val="en-GB"/>
        </w:rPr>
      </w:pPr>
      <w:r w:rsidRPr="00DE15BD">
        <w:rPr>
          <w:lang w:val="en-GB"/>
        </w:rPr>
        <w:t xml:space="preserve">As regards </w:t>
      </w:r>
      <w:r w:rsidRPr="00DE15BD">
        <w:rPr>
          <w:b/>
          <w:lang w:val="en-GB"/>
        </w:rPr>
        <w:t>checks on the source of funds</w:t>
      </w:r>
      <w:r w:rsidRPr="00DE15BD">
        <w:rPr>
          <w:lang w:val="en-GB"/>
        </w:rPr>
        <w:t xml:space="preserve">, for </w:t>
      </w:r>
      <w:r w:rsidR="007F70A9" w:rsidRPr="00DE15BD">
        <w:rPr>
          <w:lang w:val="en-GB"/>
        </w:rPr>
        <w:t xml:space="preserve">all the above types of investment, applicants must submit proof (bank transfer receipts) that the transactions were made through </w:t>
      </w:r>
      <w:r w:rsidRPr="00DE15BD">
        <w:rPr>
          <w:lang w:val="en-GB"/>
        </w:rPr>
        <w:t xml:space="preserve">Cypriot </w:t>
      </w:r>
      <w:r w:rsidR="007F70A9" w:rsidRPr="00DE15BD">
        <w:rPr>
          <w:lang w:val="en-GB"/>
        </w:rPr>
        <w:t xml:space="preserve">banks </w:t>
      </w:r>
      <w:r w:rsidR="00570D2D" w:rsidRPr="00DE15BD">
        <w:rPr>
          <w:lang w:val="en-GB"/>
        </w:rPr>
        <w:t>in order to</w:t>
      </w:r>
      <w:r w:rsidR="007F70A9" w:rsidRPr="00DE15BD">
        <w:rPr>
          <w:lang w:val="en-GB"/>
        </w:rPr>
        <w:t xml:space="preserve"> undergo all necessary checks for money laundering and financial crime. </w:t>
      </w:r>
    </w:p>
    <w:p w14:paraId="4F3F024C" w14:textId="44F2DF36" w:rsidR="00B53BC0" w:rsidRPr="00DE15BD" w:rsidRDefault="00B53BC0" w:rsidP="00E3551A">
      <w:pPr>
        <w:pStyle w:val="MMultilevel"/>
        <w:numPr>
          <w:ilvl w:val="0"/>
          <w:numId w:val="0"/>
        </w:numPr>
        <w:rPr>
          <w:lang w:val="en-GB"/>
        </w:rPr>
      </w:pPr>
    </w:p>
    <w:p w14:paraId="3469F069" w14:textId="6BB61E59" w:rsidR="00B53BC0" w:rsidRPr="00DE15BD" w:rsidRDefault="00B53BC0" w:rsidP="00E3551A">
      <w:pPr>
        <w:pStyle w:val="MMultilevel"/>
        <w:numPr>
          <w:ilvl w:val="0"/>
          <w:numId w:val="0"/>
        </w:numPr>
        <w:rPr>
          <w:lang w:val="en-GB"/>
        </w:rPr>
      </w:pPr>
      <w:r w:rsidRPr="00DE15BD">
        <w:rPr>
          <w:b/>
          <w:lang w:val="en-GB"/>
        </w:rPr>
        <w:t>Other conditions and checks</w:t>
      </w:r>
      <w:r w:rsidRPr="00DE15BD">
        <w:rPr>
          <w:lang w:val="en-GB"/>
        </w:rPr>
        <w:t xml:space="preserve"> that must be satisfied are:</w:t>
      </w:r>
    </w:p>
    <w:p w14:paraId="1D3E72C0" w14:textId="0DA3CD96" w:rsidR="00754D87" w:rsidRPr="00DE15BD" w:rsidRDefault="00754D87" w:rsidP="00FC0CA6">
      <w:pPr>
        <w:pStyle w:val="MMultilevel"/>
        <w:rPr>
          <w:lang w:val="en-GB"/>
        </w:rPr>
      </w:pPr>
      <w:r w:rsidRPr="00DE15BD">
        <w:rPr>
          <w:b/>
          <w:lang w:val="en-GB"/>
        </w:rPr>
        <w:t>Clean Criminal Record:</w:t>
      </w:r>
      <w:r w:rsidRPr="00DE15BD">
        <w:rPr>
          <w:lang w:val="en-GB"/>
        </w:rPr>
        <w:t xml:space="preserve"> </w:t>
      </w:r>
      <w:r w:rsidR="00B53BC0" w:rsidRPr="00DE15BD">
        <w:rPr>
          <w:lang w:val="en-GB"/>
        </w:rPr>
        <w:t>the applicant’s</w:t>
      </w:r>
      <w:r w:rsidRPr="00DE15BD">
        <w:rPr>
          <w:lang w:val="en-GB"/>
        </w:rPr>
        <w:t xml:space="preserve"> name must not be included in the list of persons whose assets, within the boundaries of the </w:t>
      </w:r>
      <w:r w:rsidR="00B53BC0" w:rsidRPr="00DE15BD">
        <w:rPr>
          <w:lang w:val="en-GB"/>
        </w:rPr>
        <w:t>EU</w:t>
      </w:r>
      <w:r w:rsidRPr="00DE15BD">
        <w:rPr>
          <w:lang w:val="en-GB"/>
        </w:rPr>
        <w:t xml:space="preserve">, have been frozen as the result of sanctions. </w:t>
      </w:r>
      <w:r w:rsidR="00AA18D5" w:rsidRPr="00DE15BD">
        <w:rPr>
          <w:lang w:val="en-GB"/>
        </w:rPr>
        <w:t>While preparing the criminal record report, the Police search in both Europol and Interpol’s databases.</w:t>
      </w:r>
      <w:r w:rsidR="00D841F7" w:rsidRPr="00DE15BD">
        <w:rPr>
          <w:lang w:val="en-GB"/>
        </w:rPr>
        <w:t xml:space="preserve"> No information was available on whether a search is made in the Schengen Information System.</w:t>
      </w:r>
    </w:p>
    <w:p w14:paraId="79D5FAB0" w14:textId="6E80039F" w:rsidR="00754D87" w:rsidRPr="00DE15BD" w:rsidRDefault="00754D87" w:rsidP="00FC0CA6">
      <w:pPr>
        <w:pStyle w:val="MMultilevel"/>
        <w:rPr>
          <w:lang w:val="en-GB"/>
        </w:rPr>
      </w:pPr>
      <w:r w:rsidRPr="00DE15BD">
        <w:rPr>
          <w:b/>
          <w:lang w:val="en-GB"/>
        </w:rPr>
        <w:t>Residence in the Republic of Cyprus:</w:t>
      </w:r>
      <w:r w:rsidRPr="00DE15BD">
        <w:rPr>
          <w:lang w:val="en-GB"/>
        </w:rPr>
        <w:t xml:space="preserve"> </w:t>
      </w:r>
      <w:r w:rsidR="00B53BC0" w:rsidRPr="00DE15BD">
        <w:rPr>
          <w:lang w:val="en-GB"/>
        </w:rPr>
        <w:t>applicants must have</w:t>
      </w:r>
      <w:r w:rsidRPr="00DE15BD">
        <w:rPr>
          <w:lang w:val="en-GB"/>
        </w:rPr>
        <w:t xml:space="preserve"> a permanent privately-owned residence in Cyprus, the purchase price of which must be </w:t>
      </w:r>
      <w:r w:rsidRPr="00DE15BD">
        <w:rPr>
          <w:b/>
          <w:lang w:val="en-GB"/>
        </w:rPr>
        <w:t>at least EUR 500,000, plus VAT</w:t>
      </w:r>
      <w:r w:rsidRPr="00DE15BD">
        <w:rPr>
          <w:lang w:val="en-GB"/>
        </w:rPr>
        <w:t xml:space="preserve">. </w:t>
      </w:r>
      <w:r w:rsidR="00AA18D5" w:rsidRPr="00DE15BD">
        <w:rPr>
          <w:lang w:val="en-GB"/>
        </w:rPr>
        <w:t xml:space="preserve">There is </w:t>
      </w:r>
      <w:r w:rsidR="00AA18D5" w:rsidRPr="00DE15BD">
        <w:rPr>
          <w:b/>
          <w:lang w:val="en-GB"/>
        </w:rPr>
        <w:t>no requirement for the applicant to be physically present</w:t>
      </w:r>
      <w:r w:rsidR="00AA18D5" w:rsidRPr="00DE15BD">
        <w:rPr>
          <w:lang w:val="en-GB"/>
        </w:rPr>
        <w:t xml:space="preserve"> in Cyprus.</w:t>
      </w:r>
    </w:p>
    <w:p w14:paraId="20FF3C7B" w14:textId="7C51A404" w:rsidR="00754D87" w:rsidRPr="00DE15BD" w:rsidRDefault="00754D87" w:rsidP="00FC0CA6">
      <w:pPr>
        <w:pStyle w:val="MMultilevel"/>
        <w:rPr>
          <w:lang w:val="en-GB"/>
        </w:rPr>
      </w:pPr>
      <w:r w:rsidRPr="00DE15BD">
        <w:rPr>
          <w:b/>
          <w:lang w:val="en-GB"/>
        </w:rPr>
        <w:t>Residence Permit in Cyprus:</w:t>
      </w:r>
      <w:r w:rsidRPr="00DE15BD">
        <w:rPr>
          <w:lang w:val="en-GB"/>
        </w:rPr>
        <w:t xml:space="preserve"> prior to </w:t>
      </w:r>
      <w:r w:rsidR="00B53BC0" w:rsidRPr="00DE15BD">
        <w:rPr>
          <w:lang w:val="en-GB"/>
        </w:rPr>
        <w:t xml:space="preserve">naturalisation </w:t>
      </w:r>
      <w:r w:rsidRPr="00DE15BD">
        <w:rPr>
          <w:lang w:val="en-GB"/>
        </w:rPr>
        <w:t>as Cypriot citizen</w:t>
      </w:r>
      <w:r w:rsidR="00B53BC0" w:rsidRPr="00DE15BD">
        <w:rPr>
          <w:lang w:val="en-GB"/>
        </w:rPr>
        <w:t>s</w:t>
      </w:r>
      <w:r w:rsidR="0028475F">
        <w:rPr>
          <w:lang w:val="en-GB"/>
        </w:rPr>
        <w:t>,</w:t>
      </w:r>
      <w:r w:rsidR="00B53BC0" w:rsidRPr="00DE15BD">
        <w:rPr>
          <w:lang w:val="en-GB"/>
        </w:rPr>
        <w:t xml:space="preserve"> applicants</w:t>
      </w:r>
      <w:r w:rsidRPr="00DE15BD">
        <w:rPr>
          <w:lang w:val="en-GB"/>
        </w:rPr>
        <w:t xml:space="preserve"> must hold a residence permit in Cyprus</w:t>
      </w:r>
      <w:r w:rsidR="00DA7A85" w:rsidRPr="00DE15BD">
        <w:rPr>
          <w:lang w:val="en-GB"/>
        </w:rPr>
        <w:t xml:space="preserve"> for </w:t>
      </w:r>
      <w:r w:rsidR="00547246" w:rsidRPr="00DE15BD">
        <w:rPr>
          <w:lang w:val="en-GB"/>
        </w:rPr>
        <w:t xml:space="preserve">six </w:t>
      </w:r>
      <w:r w:rsidR="00DA7A85" w:rsidRPr="00DE15BD">
        <w:rPr>
          <w:lang w:val="en-GB"/>
        </w:rPr>
        <w:t>months before they are granted citizenship</w:t>
      </w:r>
      <w:r w:rsidRPr="00DE15BD">
        <w:rPr>
          <w:lang w:val="en-GB"/>
        </w:rPr>
        <w:t xml:space="preserve">. </w:t>
      </w:r>
    </w:p>
    <w:p w14:paraId="77B12CD4" w14:textId="77777777" w:rsidR="00754D87" w:rsidRPr="00DE15BD" w:rsidRDefault="00754D87" w:rsidP="00FC0CA6">
      <w:pPr>
        <w:pStyle w:val="MMultilevel"/>
        <w:numPr>
          <w:ilvl w:val="0"/>
          <w:numId w:val="0"/>
        </w:numPr>
        <w:ind w:left="425" w:hanging="425"/>
        <w:rPr>
          <w:lang w:val="en-GB"/>
        </w:rPr>
      </w:pPr>
    </w:p>
    <w:p w14:paraId="2046345A" w14:textId="69521712" w:rsidR="001B743A" w:rsidRPr="00DE15BD" w:rsidRDefault="001E1B0F" w:rsidP="00E3551A">
      <w:pPr>
        <w:pStyle w:val="MMultilevel"/>
        <w:numPr>
          <w:ilvl w:val="0"/>
          <w:numId w:val="0"/>
        </w:numPr>
        <w:rPr>
          <w:lang w:val="en-GB"/>
        </w:rPr>
      </w:pPr>
      <w:r w:rsidRPr="00DE15BD">
        <w:rPr>
          <w:lang w:val="en-GB"/>
        </w:rPr>
        <w:t xml:space="preserve">The </w:t>
      </w:r>
      <w:r w:rsidR="008F757B" w:rsidRPr="00DE15BD">
        <w:rPr>
          <w:lang w:val="en-GB"/>
        </w:rPr>
        <w:t xml:space="preserve">scheme </w:t>
      </w:r>
      <w:r w:rsidRPr="00DE15BD">
        <w:rPr>
          <w:lang w:val="en-GB"/>
        </w:rPr>
        <w:t xml:space="preserve">itself does not provide for specific reasons for the </w:t>
      </w:r>
      <w:r w:rsidRPr="00DE15BD">
        <w:rPr>
          <w:b/>
          <w:bCs w:val="0"/>
          <w:lang w:val="en-GB"/>
        </w:rPr>
        <w:t>turning down of application</w:t>
      </w:r>
      <w:r w:rsidR="00B53BC0" w:rsidRPr="00DE15BD">
        <w:rPr>
          <w:b/>
          <w:lang w:val="en-GB"/>
        </w:rPr>
        <w:t>s</w:t>
      </w:r>
      <w:r w:rsidRPr="00DE15BD">
        <w:rPr>
          <w:lang w:val="en-GB"/>
        </w:rPr>
        <w:t xml:space="preserve">. </w:t>
      </w:r>
      <w:r w:rsidR="00B53BC0" w:rsidRPr="00DE15BD">
        <w:rPr>
          <w:lang w:val="en-GB"/>
        </w:rPr>
        <w:t>Applications will not</w:t>
      </w:r>
      <w:r w:rsidRPr="00DE15BD">
        <w:rPr>
          <w:lang w:val="en-GB"/>
        </w:rPr>
        <w:t xml:space="preserve"> be processed if the fee is not paid upon submission, if </w:t>
      </w:r>
      <w:r w:rsidR="00B53BC0" w:rsidRPr="00DE15BD">
        <w:rPr>
          <w:lang w:val="en-GB"/>
        </w:rPr>
        <w:t>they are</w:t>
      </w:r>
      <w:r w:rsidRPr="00DE15BD">
        <w:rPr>
          <w:lang w:val="en-GB"/>
        </w:rPr>
        <w:t xml:space="preserve"> incomplete or if </w:t>
      </w:r>
      <w:r w:rsidRPr="00DE15BD">
        <w:rPr>
          <w:lang w:val="en-GB"/>
        </w:rPr>
        <w:lastRenderedPageBreak/>
        <w:t>the criteria are not met. Under the General Principles of Administrative Law of 1999,</w:t>
      </w:r>
      <w:r w:rsidRPr="00DE15BD">
        <w:rPr>
          <w:vertAlign w:val="superscript"/>
          <w:lang w:val="en-GB"/>
        </w:rPr>
        <w:footnoteReference w:id="8"/>
      </w:r>
      <w:r w:rsidRPr="00DE15BD">
        <w:rPr>
          <w:lang w:val="en-GB"/>
        </w:rPr>
        <w:t xml:space="preserve"> any decision issued under the discretionary power of an authority must be fully and properly justified if it is against the </w:t>
      </w:r>
      <w:r w:rsidR="00B53BC0" w:rsidRPr="00DE15BD">
        <w:rPr>
          <w:lang w:val="en-GB"/>
        </w:rPr>
        <w:t xml:space="preserve">applicant’s </w:t>
      </w:r>
      <w:r w:rsidRPr="00DE15BD">
        <w:rPr>
          <w:lang w:val="en-GB"/>
        </w:rPr>
        <w:t xml:space="preserve">will, if it </w:t>
      </w:r>
      <w:r w:rsidR="00B53BC0" w:rsidRPr="00DE15BD">
        <w:rPr>
          <w:lang w:val="en-GB"/>
        </w:rPr>
        <w:t xml:space="preserve">departs </w:t>
      </w:r>
      <w:r w:rsidRPr="00DE15BD">
        <w:rPr>
          <w:lang w:val="en-GB"/>
        </w:rPr>
        <w:t xml:space="preserve">from past policies or previous decisions, if it consists of an exceptional measure or if the law provides that the decision should be justified. </w:t>
      </w:r>
      <w:r w:rsidR="00834FCC" w:rsidRPr="00DE15BD">
        <w:rPr>
          <w:lang w:val="en-GB"/>
        </w:rPr>
        <w:t>The possible remedy could be to annul the decision to reject the application and to re-examine the application.</w:t>
      </w:r>
    </w:p>
    <w:p w14:paraId="08217A06" w14:textId="4D9ACC08" w:rsidR="00B53BC0" w:rsidRPr="00DE15BD" w:rsidRDefault="00B53BC0" w:rsidP="00FC0CA6">
      <w:pPr>
        <w:pStyle w:val="MMultilevel"/>
        <w:numPr>
          <w:ilvl w:val="0"/>
          <w:numId w:val="0"/>
        </w:numPr>
        <w:ind w:left="425" w:hanging="425"/>
        <w:rPr>
          <w:lang w:val="en-GB"/>
        </w:rPr>
      </w:pPr>
    </w:p>
    <w:p w14:paraId="3CD71BA2" w14:textId="6E4C44FD" w:rsidR="000E62C0" w:rsidRPr="00DE15BD" w:rsidRDefault="00DC437A" w:rsidP="00E3551A">
      <w:pPr>
        <w:pStyle w:val="MMultilevel"/>
        <w:numPr>
          <w:ilvl w:val="0"/>
          <w:numId w:val="0"/>
        </w:numPr>
        <w:rPr>
          <w:lang w:val="en-GB"/>
        </w:rPr>
      </w:pPr>
      <w:r w:rsidRPr="00DE15BD">
        <w:rPr>
          <w:lang w:val="en-GB"/>
        </w:rPr>
        <w:t xml:space="preserve">Under the provisions of Article 111A(3) of the Civil Registry Laws of 2002 to 2017 in cases where the </w:t>
      </w:r>
      <w:r w:rsidRPr="00DE15BD">
        <w:rPr>
          <w:bCs w:val="0"/>
          <w:lang w:val="en-GB"/>
        </w:rPr>
        <w:t>Council of Ministers</w:t>
      </w:r>
      <w:r w:rsidRPr="00DE15BD">
        <w:rPr>
          <w:lang w:val="en-GB"/>
        </w:rPr>
        <w:t xml:space="preserve"> allows the granting of citizenship to a third-country national businessman and investor on an exceptional basis, the </w:t>
      </w:r>
      <w:r w:rsidRPr="00DE15BD">
        <w:rPr>
          <w:bCs w:val="0"/>
          <w:lang w:val="en-GB"/>
        </w:rPr>
        <w:t>House of Representatives</w:t>
      </w:r>
      <w:r w:rsidRPr="00DE15BD">
        <w:rPr>
          <w:lang w:val="en-GB"/>
        </w:rPr>
        <w:t xml:space="preserve"> must be informed in advance. In practice, this </w:t>
      </w:r>
      <w:r w:rsidR="00B53BC0" w:rsidRPr="00DE15BD">
        <w:rPr>
          <w:b/>
          <w:lang w:val="en-GB"/>
        </w:rPr>
        <w:t xml:space="preserve">parliamentary scrutiny </w:t>
      </w:r>
      <w:r w:rsidR="00B53BC0" w:rsidRPr="00DE15BD">
        <w:rPr>
          <w:lang w:val="en-GB"/>
        </w:rPr>
        <w:t>does not always take place</w:t>
      </w:r>
      <w:r w:rsidRPr="00DE15BD">
        <w:rPr>
          <w:lang w:val="en-GB"/>
        </w:rPr>
        <w:t xml:space="preserve">. </w:t>
      </w:r>
      <w:r w:rsidR="00B53BC0" w:rsidRPr="00DE15BD">
        <w:rPr>
          <w:lang w:val="en-GB"/>
        </w:rPr>
        <w:t xml:space="preserve">In addition, </w:t>
      </w:r>
      <w:r w:rsidRPr="00DE15BD">
        <w:rPr>
          <w:lang w:val="en-GB"/>
        </w:rPr>
        <w:t xml:space="preserve">the recent Council of Ministers Decision No. 84.068, provides for the establishment of a </w:t>
      </w:r>
      <w:r w:rsidRPr="00DE15BD">
        <w:rPr>
          <w:b/>
          <w:lang w:val="en-GB"/>
        </w:rPr>
        <w:t>Supervisory and Control Committee</w:t>
      </w:r>
      <w:r w:rsidRPr="00DE15BD">
        <w:rPr>
          <w:lang w:val="en-GB"/>
        </w:rPr>
        <w:t xml:space="preserve">, composed of </w:t>
      </w:r>
      <w:r w:rsidR="00B53BC0" w:rsidRPr="00DE15BD">
        <w:rPr>
          <w:lang w:val="en-GB"/>
        </w:rPr>
        <w:t xml:space="preserve">officials </w:t>
      </w:r>
      <w:r w:rsidRPr="00DE15BD">
        <w:rPr>
          <w:lang w:val="en-GB"/>
        </w:rPr>
        <w:t xml:space="preserve">of the </w:t>
      </w:r>
      <w:r w:rsidR="00B53BC0" w:rsidRPr="00DE15BD">
        <w:rPr>
          <w:lang w:val="en-GB"/>
        </w:rPr>
        <w:t xml:space="preserve">Ministries </w:t>
      </w:r>
      <w:r w:rsidRPr="00DE15BD">
        <w:rPr>
          <w:lang w:val="en-GB"/>
        </w:rPr>
        <w:t>of Interio</w:t>
      </w:r>
      <w:r w:rsidR="00B53BC0" w:rsidRPr="00DE15BD">
        <w:rPr>
          <w:lang w:val="en-GB"/>
        </w:rPr>
        <w:t xml:space="preserve">r and </w:t>
      </w:r>
      <w:r w:rsidRPr="00DE15BD">
        <w:rPr>
          <w:lang w:val="en-GB"/>
        </w:rPr>
        <w:t xml:space="preserve">Finance and the </w:t>
      </w:r>
      <w:r w:rsidR="00E3551A" w:rsidRPr="00DE15BD">
        <w:rPr>
          <w:lang w:val="en-GB"/>
        </w:rPr>
        <w:t>Cyprus Investment Promotion Agency (CIPA)</w:t>
      </w:r>
      <w:r w:rsidRPr="00DE15BD">
        <w:rPr>
          <w:lang w:val="en-GB"/>
        </w:rPr>
        <w:t xml:space="preserve"> to monitor the implementation of the </w:t>
      </w:r>
      <w:r w:rsidR="00B53BC0" w:rsidRPr="00DE15BD">
        <w:rPr>
          <w:lang w:val="en-GB"/>
        </w:rPr>
        <w:t>scheme</w:t>
      </w:r>
      <w:r w:rsidRPr="00DE15BD">
        <w:rPr>
          <w:lang w:val="en-GB"/>
        </w:rPr>
        <w:t>.</w:t>
      </w:r>
      <w:r w:rsidR="00B53BC0" w:rsidRPr="00DE15BD">
        <w:rPr>
          <w:lang w:val="en-GB"/>
        </w:rPr>
        <w:t xml:space="preserve"> </w:t>
      </w:r>
    </w:p>
    <w:p w14:paraId="59C689E6" w14:textId="77777777" w:rsidR="008F7BD4" w:rsidRPr="00DE15BD" w:rsidRDefault="008F7BD4" w:rsidP="00FC0CA6">
      <w:pPr>
        <w:spacing w:after="0" w:line="240" w:lineRule="auto"/>
        <w:jc w:val="both"/>
        <w:outlineLvl w:val="0"/>
        <w:rPr>
          <w:b/>
          <w:i/>
          <w:color w:val="FF0000"/>
          <w:sz w:val="22"/>
          <w:szCs w:val="22"/>
        </w:rPr>
      </w:pPr>
    </w:p>
    <w:p w14:paraId="2789B003" w14:textId="0C7D8ADC" w:rsidR="00D137C2" w:rsidRPr="00DE15BD" w:rsidRDefault="00970E49" w:rsidP="00FC0CA6">
      <w:pPr>
        <w:spacing w:after="0" w:line="240" w:lineRule="auto"/>
        <w:jc w:val="both"/>
        <w:rPr>
          <w:b/>
          <w:i/>
          <w:sz w:val="22"/>
          <w:szCs w:val="22"/>
        </w:rPr>
      </w:pPr>
      <w:r w:rsidRPr="00DE15BD">
        <w:rPr>
          <w:b/>
          <w:i/>
          <w:sz w:val="22"/>
          <w:szCs w:val="22"/>
        </w:rPr>
        <w:t>Investors’ Residence Schemes</w:t>
      </w:r>
    </w:p>
    <w:p w14:paraId="00963159" w14:textId="77777777" w:rsidR="00C661C1" w:rsidRPr="00DE15BD" w:rsidRDefault="00C661C1" w:rsidP="00FC0CA6">
      <w:pPr>
        <w:spacing w:after="0" w:line="240" w:lineRule="auto"/>
        <w:jc w:val="both"/>
        <w:outlineLvl w:val="0"/>
        <w:rPr>
          <w:b/>
          <w:i/>
          <w:sz w:val="22"/>
          <w:szCs w:val="22"/>
        </w:rPr>
      </w:pPr>
    </w:p>
    <w:p w14:paraId="54BBCC6E" w14:textId="37E10F22" w:rsidR="00E920D5" w:rsidRPr="00DE15BD" w:rsidRDefault="00BC2ABE" w:rsidP="00E3551A">
      <w:pPr>
        <w:pStyle w:val="MMultilevel"/>
        <w:numPr>
          <w:ilvl w:val="0"/>
          <w:numId w:val="0"/>
        </w:numPr>
        <w:rPr>
          <w:lang w:val="en-GB"/>
        </w:rPr>
      </w:pPr>
      <w:r w:rsidRPr="00DE15BD">
        <w:rPr>
          <w:b/>
          <w:lang w:val="en-GB"/>
        </w:rPr>
        <w:t>Third-country nationals who invest in Cyprus</w:t>
      </w:r>
      <w:r w:rsidRPr="00DE15BD">
        <w:rPr>
          <w:lang w:val="en-GB"/>
        </w:rPr>
        <w:t xml:space="preserve">, including their spouses/partners, children (minor and adult) and parents can apply for a </w:t>
      </w:r>
      <w:r w:rsidR="00893AB0" w:rsidRPr="00DE15BD">
        <w:rPr>
          <w:lang w:val="en-GB"/>
        </w:rPr>
        <w:t xml:space="preserve">residence </w:t>
      </w:r>
      <w:r w:rsidRPr="00DE15BD">
        <w:rPr>
          <w:lang w:val="en-GB"/>
        </w:rPr>
        <w:t>permit on the basis of the</w:t>
      </w:r>
      <w:r w:rsidR="00E920D5" w:rsidRPr="00DE15BD">
        <w:rPr>
          <w:lang w:val="en-GB"/>
        </w:rPr>
        <w:t xml:space="preserve"> Ministry of Interior Policy Document titled “Criteria for granting an Immigration Permit within the scope of the expedited procedure to applicants who are third country nationals and invest in Cyprus”. This Policy Document sets out the conditions </w:t>
      </w:r>
      <w:r w:rsidRPr="00DE15BD">
        <w:rPr>
          <w:lang w:val="en-GB"/>
        </w:rPr>
        <w:t>for issuing</w:t>
      </w:r>
      <w:r w:rsidR="00E920D5" w:rsidRPr="00DE15BD">
        <w:rPr>
          <w:lang w:val="en-GB"/>
        </w:rPr>
        <w:t xml:space="preserve"> an immigration permit to third country applicants, under the provisions of Regulation 6(2) of the Aliens and Immigration Regulations.</w:t>
      </w:r>
      <w:r w:rsidRPr="00DE15BD">
        <w:rPr>
          <w:b/>
          <w:lang w:val="en-GB"/>
        </w:rPr>
        <w:t xml:space="preserve"> </w:t>
      </w:r>
      <w:r w:rsidR="003B5BD1" w:rsidRPr="00DE15BD">
        <w:rPr>
          <w:lang w:val="en-GB"/>
        </w:rPr>
        <w:t xml:space="preserve">There is </w:t>
      </w:r>
      <w:r w:rsidR="003B5BD1" w:rsidRPr="00DE15BD">
        <w:rPr>
          <w:b/>
          <w:lang w:val="en-GB"/>
        </w:rPr>
        <w:t>no cap</w:t>
      </w:r>
      <w:r w:rsidR="003B5BD1" w:rsidRPr="00DE15BD">
        <w:rPr>
          <w:lang w:val="en-GB"/>
        </w:rPr>
        <w:t xml:space="preserve"> on </w:t>
      </w:r>
      <w:r w:rsidRPr="00DE15BD">
        <w:rPr>
          <w:lang w:val="en-GB"/>
        </w:rPr>
        <w:t xml:space="preserve">the number of </w:t>
      </w:r>
      <w:r w:rsidR="00B21C11" w:rsidRPr="00DE15BD">
        <w:rPr>
          <w:lang w:val="en-GB"/>
        </w:rPr>
        <w:t>applications</w:t>
      </w:r>
      <w:r w:rsidRPr="00DE15BD">
        <w:rPr>
          <w:lang w:val="en-GB"/>
        </w:rPr>
        <w:t xml:space="preserve"> under the scheme.</w:t>
      </w:r>
    </w:p>
    <w:p w14:paraId="21188104" w14:textId="77777777" w:rsidR="00E920D5" w:rsidRPr="00DE15BD" w:rsidRDefault="00E920D5" w:rsidP="00FC0CA6">
      <w:pPr>
        <w:widowControl w:val="0"/>
        <w:spacing w:after="0" w:line="240" w:lineRule="auto"/>
        <w:jc w:val="both"/>
        <w:rPr>
          <w:rFonts w:eastAsia="Times New Roman"/>
          <w:bCs/>
          <w:sz w:val="22"/>
          <w:szCs w:val="22"/>
          <w:lang w:eastAsia="fr-FR"/>
        </w:rPr>
      </w:pPr>
    </w:p>
    <w:p w14:paraId="0140462B" w14:textId="7184E77E" w:rsidR="003B5BD1" w:rsidRPr="00DE15BD" w:rsidRDefault="003B5BD1" w:rsidP="00FA4F14">
      <w:pPr>
        <w:spacing w:after="0" w:line="240" w:lineRule="auto"/>
        <w:jc w:val="both"/>
        <w:rPr>
          <w:sz w:val="22"/>
          <w:szCs w:val="22"/>
        </w:rPr>
      </w:pPr>
      <w:r w:rsidRPr="00DE15BD">
        <w:rPr>
          <w:b/>
          <w:sz w:val="22"/>
          <w:szCs w:val="22"/>
        </w:rPr>
        <w:t>Applications accompanied with the required documents</w:t>
      </w:r>
      <w:r w:rsidR="006259F5" w:rsidRPr="00DE15BD">
        <w:rPr>
          <w:b/>
          <w:sz w:val="22"/>
          <w:szCs w:val="22"/>
        </w:rPr>
        <w:t xml:space="preserve"> and a EUR 500 fee</w:t>
      </w:r>
      <w:r w:rsidRPr="00DE15BD">
        <w:rPr>
          <w:b/>
          <w:sz w:val="22"/>
          <w:szCs w:val="22"/>
        </w:rPr>
        <w:t xml:space="preserve"> must be submitted directly to the CRMD, personally or through an authorised representative</w:t>
      </w:r>
      <w:r w:rsidRPr="00DE15BD">
        <w:rPr>
          <w:sz w:val="22"/>
          <w:szCs w:val="22"/>
        </w:rPr>
        <w:t xml:space="preserve">. </w:t>
      </w:r>
      <w:r w:rsidR="008F2431" w:rsidRPr="00DE15BD">
        <w:rPr>
          <w:sz w:val="22"/>
          <w:szCs w:val="22"/>
        </w:rPr>
        <w:t xml:space="preserve">These non-public bodies (agents), for instance developers’ companies, law firms or accountancy firms may act </w:t>
      </w:r>
      <w:r w:rsidR="00135EBB" w:rsidRPr="00DE15BD">
        <w:rPr>
          <w:sz w:val="22"/>
          <w:szCs w:val="22"/>
        </w:rPr>
        <w:t>on request of applicants</w:t>
      </w:r>
      <w:r w:rsidR="008F2431" w:rsidRPr="00DE15BD">
        <w:rPr>
          <w:sz w:val="22"/>
          <w:szCs w:val="22"/>
        </w:rPr>
        <w:t xml:space="preserve"> as facilitators promoting their clients’ interests in providing services to prepare the application for an immigration permit. The role of the agents, or authorised representatives is restricted to the submission of the application and to the provision of </w:t>
      </w:r>
      <w:r w:rsidR="006259F5" w:rsidRPr="00DE15BD">
        <w:rPr>
          <w:sz w:val="22"/>
          <w:szCs w:val="22"/>
        </w:rPr>
        <w:t>advice.</w:t>
      </w:r>
      <w:r w:rsidR="008F2431" w:rsidRPr="00DE15BD">
        <w:rPr>
          <w:sz w:val="22"/>
          <w:szCs w:val="22"/>
        </w:rPr>
        <w:t xml:space="preserve"> </w:t>
      </w:r>
      <w:r w:rsidR="009A7BBB" w:rsidRPr="00DE15BD">
        <w:rPr>
          <w:sz w:val="22"/>
          <w:szCs w:val="22"/>
        </w:rPr>
        <w:t>They are not subject to the new Code of Conduct</w:t>
      </w:r>
      <w:r w:rsidR="000038B5" w:rsidRPr="00DE15BD">
        <w:rPr>
          <w:sz w:val="22"/>
          <w:szCs w:val="22"/>
        </w:rPr>
        <w:t xml:space="preserve"> unless they also work as investors’ citizenship service providers</w:t>
      </w:r>
      <w:r w:rsidR="009A7BBB" w:rsidRPr="00DE15BD">
        <w:rPr>
          <w:sz w:val="22"/>
          <w:szCs w:val="22"/>
        </w:rPr>
        <w:t xml:space="preserve">. </w:t>
      </w:r>
      <w:r w:rsidR="006259F5" w:rsidRPr="00DE15BD">
        <w:rPr>
          <w:sz w:val="22"/>
          <w:szCs w:val="22"/>
        </w:rPr>
        <w:t>A</w:t>
      </w:r>
      <w:r w:rsidR="008F2431" w:rsidRPr="00DE15BD">
        <w:rPr>
          <w:sz w:val="22"/>
          <w:szCs w:val="22"/>
        </w:rPr>
        <w:t xml:space="preserve">pplicants </w:t>
      </w:r>
      <w:r w:rsidR="006259F5" w:rsidRPr="00DE15BD">
        <w:rPr>
          <w:sz w:val="22"/>
          <w:szCs w:val="22"/>
        </w:rPr>
        <w:t xml:space="preserve">must </w:t>
      </w:r>
      <w:r w:rsidR="008F2431" w:rsidRPr="00DE15BD">
        <w:rPr>
          <w:sz w:val="22"/>
          <w:szCs w:val="22"/>
        </w:rPr>
        <w:t xml:space="preserve">be physically present for the </w:t>
      </w:r>
      <w:r w:rsidR="00FA4F14" w:rsidRPr="00DE15BD">
        <w:rPr>
          <w:sz w:val="22"/>
          <w:szCs w:val="22"/>
        </w:rPr>
        <w:t xml:space="preserve">evaluation of the </w:t>
      </w:r>
      <w:r w:rsidR="008F2431" w:rsidRPr="00DE15BD">
        <w:rPr>
          <w:sz w:val="22"/>
          <w:szCs w:val="22"/>
        </w:rPr>
        <w:t>application for an immigration permit</w:t>
      </w:r>
      <w:r w:rsidR="00FA4F14" w:rsidRPr="00DE15BD">
        <w:rPr>
          <w:sz w:val="22"/>
          <w:szCs w:val="22"/>
        </w:rPr>
        <w:t>, in case they are invited for an interview and once their application is processed for the issuing of the permit card</w:t>
      </w:r>
      <w:r w:rsidR="008F2431" w:rsidRPr="00DE15BD">
        <w:rPr>
          <w:sz w:val="22"/>
          <w:szCs w:val="22"/>
        </w:rPr>
        <w:t xml:space="preserve">. </w:t>
      </w:r>
    </w:p>
    <w:p w14:paraId="2397F753" w14:textId="77777777" w:rsidR="00FC0CA6" w:rsidRPr="00DE15BD" w:rsidRDefault="00FC0CA6" w:rsidP="00FA4F14">
      <w:pPr>
        <w:spacing w:after="0" w:line="240" w:lineRule="auto"/>
        <w:jc w:val="both"/>
        <w:rPr>
          <w:sz w:val="22"/>
          <w:szCs w:val="22"/>
        </w:rPr>
      </w:pPr>
    </w:p>
    <w:p w14:paraId="3F018D2C" w14:textId="3C6A00C6" w:rsidR="00E920D5" w:rsidRPr="00DE15BD" w:rsidRDefault="003B5BD1" w:rsidP="00FA4F14">
      <w:pPr>
        <w:spacing w:after="0" w:line="240" w:lineRule="auto"/>
        <w:jc w:val="both"/>
        <w:rPr>
          <w:sz w:val="22"/>
          <w:szCs w:val="22"/>
        </w:rPr>
      </w:pPr>
      <w:r w:rsidRPr="00DE15BD">
        <w:rPr>
          <w:sz w:val="22"/>
          <w:szCs w:val="22"/>
        </w:rPr>
        <w:t xml:space="preserve">The application is processed by the </w:t>
      </w:r>
      <w:r w:rsidRPr="00DE15BD">
        <w:rPr>
          <w:b/>
          <w:sz w:val="22"/>
          <w:szCs w:val="22"/>
        </w:rPr>
        <w:t>CRMD</w:t>
      </w:r>
      <w:r w:rsidRPr="00DE15BD">
        <w:rPr>
          <w:sz w:val="22"/>
          <w:szCs w:val="22"/>
        </w:rPr>
        <w:t xml:space="preserve"> and then submitted to the </w:t>
      </w:r>
      <w:r w:rsidRPr="00DE15BD">
        <w:rPr>
          <w:b/>
          <w:sz w:val="22"/>
          <w:szCs w:val="22"/>
        </w:rPr>
        <w:t>Minister of Interior</w:t>
      </w:r>
      <w:r w:rsidRPr="00DE15BD">
        <w:rPr>
          <w:sz w:val="22"/>
          <w:szCs w:val="22"/>
        </w:rPr>
        <w:t xml:space="preserve">, through the </w:t>
      </w:r>
      <w:r w:rsidRPr="00DE15BD">
        <w:rPr>
          <w:b/>
          <w:sz w:val="22"/>
          <w:szCs w:val="22"/>
        </w:rPr>
        <w:t>Permanent Secretary of the Ministry of Interior</w:t>
      </w:r>
      <w:r w:rsidRPr="00DE15BD">
        <w:rPr>
          <w:sz w:val="22"/>
          <w:szCs w:val="22"/>
        </w:rPr>
        <w:t xml:space="preserve">. </w:t>
      </w:r>
      <w:r w:rsidR="006259F5" w:rsidRPr="00DE15BD">
        <w:rPr>
          <w:sz w:val="22"/>
          <w:szCs w:val="22"/>
        </w:rPr>
        <w:t xml:space="preserve">When deemed necessary, </w:t>
      </w:r>
      <w:r w:rsidR="006259F5" w:rsidRPr="00DE15BD">
        <w:rPr>
          <w:b/>
          <w:sz w:val="22"/>
          <w:szCs w:val="22"/>
        </w:rPr>
        <w:t>applicants are then interviewed</w:t>
      </w:r>
      <w:r w:rsidRPr="00DE15BD">
        <w:rPr>
          <w:sz w:val="22"/>
          <w:szCs w:val="22"/>
        </w:rPr>
        <w:t xml:space="preserve"> by the Permanent Secretary of the Ministry of Interior.</w:t>
      </w:r>
      <w:r w:rsidR="006259F5" w:rsidRPr="00DE15BD">
        <w:rPr>
          <w:sz w:val="22"/>
          <w:szCs w:val="22"/>
        </w:rPr>
        <w:t xml:space="preserve"> </w:t>
      </w:r>
      <w:r w:rsidRPr="00DE15BD">
        <w:rPr>
          <w:sz w:val="22"/>
          <w:szCs w:val="22"/>
        </w:rPr>
        <w:t xml:space="preserve">The </w:t>
      </w:r>
      <w:r w:rsidRPr="00DE15BD">
        <w:rPr>
          <w:b/>
          <w:sz w:val="22"/>
          <w:szCs w:val="22"/>
        </w:rPr>
        <w:t>Ministry of Interior</w:t>
      </w:r>
      <w:r w:rsidRPr="00DE15BD">
        <w:rPr>
          <w:sz w:val="22"/>
          <w:szCs w:val="22"/>
        </w:rPr>
        <w:t xml:space="preserve"> is responsible for notifying </w:t>
      </w:r>
      <w:r w:rsidR="006259F5" w:rsidRPr="00DE15BD">
        <w:rPr>
          <w:sz w:val="22"/>
          <w:szCs w:val="22"/>
        </w:rPr>
        <w:t>applicants or their</w:t>
      </w:r>
      <w:r w:rsidRPr="00DE15BD">
        <w:rPr>
          <w:sz w:val="22"/>
          <w:szCs w:val="22"/>
        </w:rPr>
        <w:t xml:space="preserve"> authorised representative and the CRMD as to its </w:t>
      </w:r>
      <w:r w:rsidRPr="00DE15BD">
        <w:rPr>
          <w:b/>
          <w:sz w:val="22"/>
          <w:szCs w:val="22"/>
        </w:rPr>
        <w:t>decision</w:t>
      </w:r>
      <w:r w:rsidRPr="00DE15BD">
        <w:rPr>
          <w:sz w:val="22"/>
          <w:szCs w:val="22"/>
        </w:rPr>
        <w:t xml:space="preserve"> and an </w:t>
      </w:r>
      <w:r w:rsidR="00637EF5" w:rsidRPr="00DE15BD">
        <w:rPr>
          <w:sz w:val="22"/>
          <w:szCs w:val="22"/>
        </w:rPr>
        <w:t xml:space="preserve">immigration permit </w:t>
      </w:r>
      <w:r w:rsidRPr="00DE15BD">
        <w:rPr>
          <w:sz w:val="22"/>
          <w:szCs w:val="22"/>
        </w:rPr>
        <w:t>will be issued</w:t>
      </w:r>
      <w:r w:rsidR="00FA4F14" w:rsidRPr="00DE15BD">
        <w:rPr>
          <w:sz w:val="22"/>
          <w:szCs w:val="22"/>
        </w:rPr>
        <w:t xml:space="preserve"> in case the application is successful</w:t>
      </w:r>
      <w:r w:rsidRPr="00DE15BD">
        <w:rPr>
          <w:sz w:val="22"/>
          <w:szCs w:val="22"/>
        </w:rPr>
        <w:t xml:space="preserve">. The time frame for issuing immigration permits for investors </w:t>
      </w:r>
      <w:r w:rsidRPr="00DE15BD">
        <w:rPr>
          <w:b/>
          <w:sz w:val="22"/>
          <w:szCs w:val="22"/>
        </w:rPr>
        <w:t>will not exceed two months from the date of the submission of a complete application</w:t>
      </w:r>
      <w:r w:rsidRPr="00DE15BD">
        <w:rPr>
          <w:sz w:val="22"/>
          <w:szCs w:val="22"/>
        </w:rPr>
        <w:t xml:space="preserve">. </w:t>
      </w:r>
    </w:p>
    <w:p w14:paraId="6EDC5EAF" w14:textId="77777777" w:rsidR="00FC0CA6" w:rsidRPr="00DE15BD" w:rsidRDefault="00FC0CA6" w:rsidP="00FA4F14">
      <w:pPr>
        <w:spacing w:after="0" w:line="240" w:lineRule="auto"/>
        <w:jc w:val="both"/>
        <w:rPr>
          <w:sz w:val="22"/>
        </w:rPr>
      </w:pPr>
    </w:p>
    <w:p w14:paraId="04726AE6" w14:textId="77777777" w:rsidR="00913AD4" w:rsidRPr="00DE15BD" w:rsidRDefault="006259F5" w:rsidP="00FA4F14">
      <w:pPr>
        <w:pStyle w:val="MMultilevel"/>
        <w:numPr>
          <w:ilvl w:val="0"/>
          <w:numId w:val="0"/>
        </w:numPr>
        <w:rPr>
          <w:lang w:val="en-GB"/>
        </w:rPr>
      </w:pPr>
      <w:r w:rsidRPr="00DE15BD">
        <w:rPr>
          <w:lang w:val="en-GB"/>
        </w:rPr>
        <w:t xml:space="preserve">To prove satisfaction of the </w:t>
      </w:r>
      <w:r w:rsidRPr="00DE15BD">
        <w:rPr>
          <w:b/>
          <w:lang w:val="en-GB"/>
        </w:rPr>
        <w:t>investment requirement</w:t>
      </w:r>
      <w:r w:rsidRPr="00DE15BD">
        <w:rPr>
          <w:lang w:val="en-GB"/>
        </w:rPr>
        <w:t xml:space="preserve">, applicants </w:t>
      </w:r>
      <w:r w:rsidR="00787183" w:rsidRPr="00DE15BD">
        <w:rPr>
          <w:lang w:val="en-GB"/>
        </w:rPr>
        <w:t>must submit a confirmation letter from a financial institution in Cyprus that</w:t>
      </w:r>
      <w:r w:rsidR="00913AD4" w:rsidRPr="00DE15BD">
        <w:rPr>
          <w:lang w:val="en-GB"/>
        </w:rPr>
        <w:t>:</w:t>
      </w:r>
    </w:p>
    <w:p w14:paraId="0C878612" w14:textId="20366BF9" w:rsidR="00913AD4" w:rsidRPr="00DE15BD" w:rsidRDefault="006259F5" w:rsidP="00DA7A85">
      <w:pPr>
        <w:pStyle w:val="MMultilevel"/>
        <w:numPr>
          <w:ilvl w:val="0"/>
          <w:numId w:val="32"/>
        </w:numPr>
        <w:rPr>
          <w:lang w:val="en-GB"/>
        </w:rPr>
      </w:pPr>
      <w:r w:rsidRPr="00DE15BD">
        <w:rPr>
          <w:lang w:val="en-GB"/>
        </w:rPr>
        <w:t>they</w:t>
      </w:r>
      <w:r w:rsidR="00787183" w:rsidRPr="00DE15BD">
        <w:rPr>
          <w:lang w:val="en-GB"/>
        </w:rPr>
        <w:t xml:space="preserve"> deposited a minimum capital of</w:t>
      </w:r>
      <w:r w:rsidR="00787183" w:rsidRPr="00DE15BD">
        <w:rPr>
          <w:b/>
          <w:lang w:val="en-GB"/>
        </w:rPr>
        <w:t xml:space="preserve"> EUR 30</w:t>
      </w:r>
      <w:r w:rsidRPr="00DE15BD">
        <w:rPr>
          <w:b/>
          <w:lang w:val="en-GB"/>
        </w:rPr>
        <w:t>,</w:t>
      </w:r>
      <w:r w:rsidR="00787183" w:rsidRPr="00DE15BD">
        <w:rPr>
          <w:b/>
          <w:lang w:val="en-GB"/>
        </w:rPr>
        <w:t xml:space="preserve">000 into an account, </w:t>
      </w:r>
      <w:r w:rsidR="00787183" w:rsidRPr="00DE15BD">
        <w:rPr>
          <w:lang w:val="en-GB"/>
        </w:rPr>
        <w:t xml:space="preserve">which will be pledged for a period of at least three years. </w:t>
      </w:r>
    </w:p>
    <w:p w14:paraId="7CD2F0D1" w14:textId="62D8ECD2" w:rsidR="00913AD4" w:rsidRPr="00DE15BD" w:rsidRDefault="006259F5" w:rsidP="00DA7A85">
      <w:pPr>
        <w:pStyle w:val="MMultilevel"/>
        <w:numPr>
          <w:ilvl w:val="0"/>
          <w:numId w:val="32"/>
        </w:numPr>
        <w:rPr>
          <w:lang w:val="en-GB"/>
        </w:rPr>
      </w:pPr>
      <w:r w:rsidRPr="00DE15BD">
        <w:rPr>
          <w:lang w:val="en-GB"/>
        </w:rPr>
        <w:t xml:space="preserve">they have at their </w:t>
      </w:r>
      <w:r w:rsidR="00787183" w:rsidRPr="00DE15BD">
        <w:rPr>
          <w:lang w:val="en-GB"/>
        </w:rPr>
        <w:t>disposal</w:t>
      </w:r>
      <w:r w:rsidR="00787183" w:rsidRPr="00DE15BD">
        <w:rPr>
          <w:b/>
          <w:lang w:val="en-GB"/>
        </w:rPr>
        <w:t xml:space="preserve"> a secure annual income of at least EUR 30</w:t>
      </w:r>
      <w:r w:rsidRPr="00DE15BD">
        <w:rPr>
          <w:b/>
          <w:lang w:val="en-GB"/>
        </w:rPr>
        <w:t>,</w:t>
      </w:r>
      <w:r w:rsidR="00787183" w:rsidRPr="00DE15BD">
        <w:rPr>
          <w:b/>
          <w:lang w:val="en-GB"/>
        </w:rPr>
        <w:t>000</w:t>
      </w:r>
      <w:r w:rsidR="00787183" w:rsidRPr="00DE15BD">
        <w:rPr>
          <w:bCs w:val="0"/>
          <w:lang w:val="en-GB"/>
        </w:rPr>
        <w:t xml:space="preserve">. </w:t>
      </w:r>
      <w:r w:rsidR="00787183" w:rsidRPr="00DE15BD">
        <w:rPr>
          <w:lang w:val="en-GB"/>
        </w:rPr>
        <w:t>This annual income should increase by EUR 5</w:t>
      </w:r>
      <w:r w:rsidRPr="00DE15BD">
        <w:rPr>
          <w:lang w:val="en-GB"/>
        </w:rPr>
        <w:t>,</w:t>
      </w:r>
      <w:r w:rsidR="00787183" w:rsidRPr="00DE15BD">
        <w:rPr>
          <w:lang w:val="en-GB"/>
        </w:rPr>
        <w:t xml:space="preserve">000 for every dependent person of </w:t>
      </w:r>
      <w:r w:rsidRPr="00DE15BD">
        <w:rPr>
          <w:lang w:val="en-GB"/>
        </w:rPr>
        <w:t>their</w:t>
      </w:r>
      <w:r w:rsidR="00787183" w:rsidRPr="00DE15BD">
        <w:rPr>
          <w:lang w:val="en-GB"/>
        </w:rPr>
        <w:t xml:space="preserve"> family (spouse</w:t>
      </w:r>
      <w:r w:rsidRPr="00DE15BD">
        <w:rPr>
          <w:lang w:val="en-GB"/>
        </w:rPr>
        <w:t>s</w:t>
      </w:r>
      <w:r w:rsidR="00787183" w:rsidRPr="00DE15BD">
        <w:rPr>
          <w:lang w:val="en-GB"/>
        </w:rPr>
        <w:t xml:space="preserve"> and children) and by EUR 8</w:t>
      </w:r>
      <w:r w:rsidRPr="00DE15BD">
        <w:rPr>
          <w:lang w:val="en-GB"/>
        </w:rPr>
        <w:t>,</w:t>
      </w:r>
      <w:r w:rsidR="00787183" w:rsidRPr="00DE15BD">
        <w:rPr>
          <w:lang w:val="en-GB"/>
        </w:rPr>
        <w:t>000 for every dependent parent or parent-in-law.</w:t>
      </w:r>
      <w:r w:rsidR="00787183" w:rsidRPr="00DE15BD">
        <w:rPr>
          <w:b/>
          <w:lang w:val="en-GB"/>
        </w:rPr>
        <w:t xml:space="preserve"> </w:t>
      </w:r>
    </w:p>
    <w:p w14:paraId="5DCCF94B" w14:textId="37022B6D" w:rsidR="006259F5" w:rsidRPr="00DE15BD" w:rsidRDefault="00913AD4" w:rsidP="00DA7A85">
      <w:pPr>
        <w:pStyle w:val="MMultilevel"/>
        <w:numPr>
          <w:ilvl w:val="0"/>
          <w:numId w:val="32"/>
        </w:numPr>
        <w:rPr>
          <w:lang w:val="en-GB"/>
        </w:rPr>
      </w:pPr>
      <w:r w:rsidRPr="00DE15BD">
        <w:rPr>
          <w:lang w:val="en-GB"/>
        </w:rPr>
        <w:t xml:space="preserve">they </w:t>
      </w:r>
      <w:r w:rsidR="00787183" w:rsidRPr="00DE15BD">
        <w:rPr>
          <w:lang w:val="en-GB"/>
        </w:rPr>
        <w:t xml:space="preserve">must </w:t>
      </w:r>
      <w:r w:rsidR="006259F5" w:rsidRPr="00DE15BD">
        <w:rPr>
          <w:lang w:val="en-GB"/>
        </w:rPr>
        <w:t xml:space="preserve">also </w:t>
      </w:r>
      <w:r w:rsidR="00787183" w:rsidRPr="00DE15BD">
        <w:rPr>
          <w:lang w:val="en-GB"/>
        </w:rPr>
        <w:t xml:space="preserve">submit with </w:t>
      </w:r>
      <w:r w:rsidR="006259F5" w:rsidRPr="00DE15BD">
        <w:rPr>
          <w:lang w:val="en-GB"/>
        </w:rPr>
        <w:t>their</w:t>
      </w:r>
      <w:r w:rsidR="00787183" w:rsidRPr="00DE15BD">
        <w:rPr>
          <w:lang w:val="en-GB"/>
        </w:rPr>
        <w:t xml:space="preserve"> application,</w:t>
      </w:r>
      <w:r w:rsidR="00787183" w:rsidRPr="00DE15BD">
        <w:rPr>
          <w:b/>
          <w:lang w:val="en-GB"/>
        </w:rPr>
        <w:t xml:space="preserve"> title deeds or a sale contract for immovable property in </w:t>
      </w:r>
      <w:r w:rsidR="006259F5" w:rsidRPr="00DE15BD">
        <w:rPr>
          <w:b/>
          <w:lang w:val="en-GB"/>
        </w:rPr>
        <w:t>their</w:t>
      </w:r>
      <w:r w:rsidR="00787183" w:rsidRPr="00DE15BD">
        <w:rPr>
          <w:b/>
          <w:lang w:val="en-GB"/>
        </w:rPr>
        <w:t xml:space="preserve"> name and/or </w:t>
      </w:r>
      <w:r w:rsidR="006259F5" w:rsidRPr="00DE15BD">
        <w:rPr>
          <w:b/>
          <w:lang w:val="en-GB"/>
        </w:rPr>
        <w:t>that of the</w:t>
      </w:r>
      <w:r w:rsidR="00787183" w:rsidRPr="00DE15BD">
        <w:rPr>
          <w:b/>
          <w:lang w:val="en-GB"/>
        </w:rPr>
        <w:t xml:space="preserve"> spouse, </w:t>
      </w:r>
      <w:r w:rsidR="00787183" w:rsidRPr="00DE15BD">
        <w:rPr>
          <w:lang w:val="en-GB"/>
        </w:rPr>
        <w:t>which has been officially filed at the</w:t>
      </w:r>
      <w:r w:rsidR="00787183" w:rsidRPr="00DE15BD">
        <w:rPr>
          <w:b/>
          <w:lang w:val="en-GB"/>
        </w:rPr>
        <w:t xml:space="preserve"> </w:t>
      </w:r>
      <w:r w:rsidR="00787183" w:rsidRPr="00DE15BD">
        <w:rPr>
          <w:lang w:val="en-GB"/>
        </w:rPr>
        <w:lastRenderedPageBreak/>
        <w:t>Department of Lands and Surveys.</w:t>
      </w:r>
      <w:r w:rsidR="00787183" w:rsidRPr="00DE15BD">
        <w:rPr>
          <w:b/>
          <w:lang w:val="en-GB"/>
        </w:rPr>
        <w:t xml:space="preserve"> </w:t>
      </w:r>
      <w:r w:rsidR="00787183" w:rsidRPr="00DE15BD">
        <w:rPr>
          <w:lang w:val="en-GB"/>
        </w:rPr>
        <w:t>The total market value of the property officially registered at the Department of Lands and Surveys must be</w:t>
      </w:r>
      <w:r w:rsidR="00787183" w:rsidRPr="00DE15BD">
        <w:rPr>
          <w:b/>
          <w:lang w:val="en-GB"/>
        </w:rPr>
        <w:t xml:space="preserve"> at least EUR 300</w:t>
      </w:r>
      <w:r w:rsidR="006259F5" w:rsidRPr="00DE15BD">
        <w:rPr>
          <w:b/>
          <w:lang w:val="en-GB"/>
        </w:rPr>
        <w:t>,</w:t>
      </w:r>
      <w:r w:rsidR="00787183" w:rsidRPr="00DE15BD">
        <w:rPr>
          <w:b/>
          <w:lang w:val="en-GB"/>
        </w:rPr>
        <w:t xml:space="preserve">000 </w:t>
      </w:r>
      <w:r w:rsidR="00787183" w:rsidRPr="00DE15BD">
        <w:rPr>
          <w:lang w:val="en-GB"/>
        </w:rPr>
        <w:t xml:space="preserve">(excluding VAT). Along with the contract of sale for the property, </w:t>
      </w:r>
      <w:r w:rsidR="006259F5" w:rsidRPr="00DE15BD">
        <w:rPr>
          <w:lang w:val="en-GB"/>
        </w:rPr>
        <w:t>applicants</w:t>
      </w:r>
      <w:r w:rsidR="00787183" w:rsidRPr="00DE15BD">
        <w:rPr>
          <w:lang w:val="en-GB"/>
        </w:rPr>
        <w:t xml:space="preserve"> must also submit official receipts proving that </w:t>
      </w:r>
      <w:r w:rsidR="006259F5" w:rsidRPr="00DE15BD">
        <w:rPr>
          <w:lang w:val="en-GB"/>
        </w:rPr>
        <w:t>they</w:t>
      </w:r>
      <w:r w:rsidR="00787183" w:rsidRPr="00DE15BD">
        <w:rPr>
          <w:lang w:val="en-GB"/>
        </w:rPr>
        <w:t xml:space="preserve"> paid</w:t>
      </w:r>
      <w:r w:rsidR="00787183" w:rsidRPr="00DE15BD">
        <w:rPr>
          <w:b/>
          <w:lang w:val="en-GB"/>
        </w:rPr>
        <w:t xml:space="preserve"> at least EUR 200</w:t>
      </w:r>
      <w:r w:rsidR="006259F5" w:rsidRPr="00DE15BD">
        <w:rPr>
          <w:b/>
          <w:lang w:val="en-GB"/>
        </w:rPr>
        <w:t>,</w:t>
      </w:r>
      <w:r w:rsidR="00787183" w:rsidRPr="00DE15BD">
        <w:rPr>
          <w:b/>
          <w:lang w:val="en-GB"/>
        </w:rPr>
        <w:t xml:space="preserve">000 (excluding VAT) </w:t>
      </w:r>
      <w:r w:rsidR="00787183" w:rsidRPr="00DE15BD">
        <w:rPr>
          <w:lang w:val="en-GB"/>
        </w:rPr>
        <w:t xml:space="preserve">of the total value of the property, irrespective of the delivery date of the property. </w:t>
      </w:r>
    </w:p>
    <w:p w14:paraId="479FF26C" w14:textId="77777777" w:rsidR="006259F5" w:rsidRPr="00DE15BD" w:rsidRDefault="006259F5" w:rsidP="00FA4F14">
      <w:pPr>
        <w:pStyle w:val="MMultilevel"/>
        <w:numPr>
          <w:ilvl w:val="0"/>
          <w:numId w:val="0"/>
        </w:numPr>
        <w:rPr>
          <w:lang w:val="en-GB"/>
        </w:rPr>
      </w:pPr>
    </w:p>
    <w:p w14:paraId="391A8300" w14:textId="49AC749C" w:rsidR="006259F5" w:rsidRPr="00DE15BD" w:rsidRDefault="006259F5" w:rsidP="00FA4F14">
      <w:pPr>
        <w:pStyle w:val="MMultilevel"/>
        <w:numPr>
          <w:ilvl w:val="0"/>
          <w:numId w:val="0"/>
        </w:numPr>
        <w:rPr>
          <w:lang w:val="en-GB"/>
        </w:rPr>
      </w:pPr>
      <w:r w:rsidRPr="00DE15BD">
        <w:rPr>
          <w:lang w:val="en-GB"/>
        </w:rPr>
        <w:t>It must be proved that the abovementioned amounts were transferred to Cyprus from another country.</w:t>
      </w:r>
      <w:r w:rsidR="00637EF5" w:rsidRPr="00DE15BD">
        <w:rPr>
          <w:lang w:val="en-GB"/>
        </w:rPr>
        <w:t xml:space="preserve"> </w:t>
      </w:r>
      <w:r w:rsidR="00787183" w:rsidRPr="00DE15BD">
        <w:rPr>
          <w:lang w:val="en-GB"/>
        </w:rPr>
        <w:t xml:space="preserve">The </w:t>
      </w:r>
      <w:r w:rsidR="00787183" w:rsidRPr="00DE15BD">
        <w:rPr>
          <w:b/>
          <w:lang w:val="en-GB"/>
        </w:rPr>
        <w:t>money transfer checks</w:t>
      </w:r>
      <w:r w:rsidR="00787183" w:rsidRPr="00DE15BD">
        <w:rPr>
          <w:lang w:val="en-GB"/>
        </w:rPr>
        <w:t xml:space="preserve"> are made through the </w:t>
      </w:r>
      <w:r w:rsidR="00787183" w:rsidRPr="00DE15BD">
        <w:rPr>
          <w:b/>
          <w:lang w:val="en-GB"/>
        </w:rPr>
        <w:t>Cypriot Banks</w:t>
      </w:r>
      <w:r w:rsidR="00787183" w:rsidRPr="00DE15BD">
        <w:rPr>
          <w:lang w:val="en-GB"/>
        </w:rPr>
        <w:t xml:space="preserve"> compliance departments, in line with the Law providing for the Prevention and Combatting of Legalisation of Profits from Illegal Activities of 2007 to 2018</w:t>
      </w:r>
      <w:r w:rsidRPr="00DE15BD">
        <w:rPr>
          <w:lang w:val="en-GB"/>
        </w:rPr>
        <w:t>.</w:t>
      </w:r>
      <w:r w:rsidR="00787183" w:rsidRPr="00DE15BD">
        <w:rPr>
          <w:vertAlign w:val="superscript"/>
          <w:lang w:val="en-GB"/>
        </w:rPr>
        <w:footnoteReference w:id="9"/>
      </w:r>
    </w:p>
    <w:p w14:paraId="7C6D7B96" w14:textId="77777777" w:rsidR="006259F5" w:rsidRPr="00DE15BD" w:rsidRDefault="006259F5" w:rsidP="00FA4F14">
      <w:pPr>
        <w:pStyle w:val="MMultilevel"/>
        <w:numPr>
          <w:ilvl w:val="0"/>
          <w:numId w:val="0"/>
        </w:numPr>
        <w:rPr>
          <w:lang w:val="en-GB"/>
        </w:rPr>
      </w:pPr>
    </w:p>
    <w:p w14:paraId="25F1FADA" w14:textId="03D0B62F" w:rsidR="00012B45" w:rsidRPr="00DE15BD" w:rsidRDefault="006259F5" w:rsidP="00FA4F14">
      <w:pPr>
        <w:pStyle w:val="MMultilevel"/>
        <w:numPr>
          <w:ilvl w:val="0"/>
          <w:numId w:val="0"/>
        </w:numPr>
        <w:rPr>
          <w:lang w:val="en-GB"/>
        </w:rPr>
      </w:pPr>
      <w:r w:rsidRPr="00DE15BD">
        <w:rPr>
          <w:b/>
          <w:lang w:val="en-GB"/>
        </w:rPr>
        <w:t>Other checks</w:t>
      </w:r>
      <w:r w:rsidRPr="00DE15BD">
        <w:rPr>
          <w:lang w:val="en-GB"/>
        </w:rPr>
        <w:t xml:space="preserve"> </w:t>
      </w:r>
      <w:r w:rsidR="001C362B" w:rsidRPr="00DE15BD">
        <w:rPr>
          <w:lang w:val="en-GB"/>
        </w:rPr>
        <w:t xml:space="preserve">relate to ensuring that applicants have a </w:t>
      </w:r>
      <w:r w:rsidR="001C362B" w:rsidRPr="00DE15BD">
        <w:rPr>
          <w:b/>
          <w:lang w:val="en-GB"/>
        </w:rPr>
        <w:t>clean criminal record</w:t>
      </w:r>
      <w:r w:rsidR="001C362B" w:rsidRPr="00DE15BD">
        <w:rPr>
          <w:lang w:val="en-GB"/>
        </w:rPr>
        <w:t xml:space="preserve"> and that their name is not</w:t>
      </w:r>
      <w:r w:rsidR="00E920D5" w:rsidRPr="00DE15BD">
        <w:rPr>
          <w:lang w:val="en-GB"/>
        </w:rPr>
        <w:t xml:space="preserve"> included in the list of persons whose assets, within the boundaries of the </w:t>
      </w:r>
      <w:r w:rsidR="001C362B" w:rsidRPr="00DE15BD">
        <w:rPr>
          <w:lang w:val="en-GB"/>
        </w:rPr>
        <w:t>EU</w:t>
      </w:r>
      <w:r w:rsidR="00E920D5" w:rsidRPr="00DE15BD">
        <w:rPr>
          <w:lang w:val="en-GB"/>
        </w:rPr>
        <w:t xml:space="preserve">, have been frozen as the result of sanctions. While preparing the criminal record report, </w:t>
      </w:r>
      <w:r w:rsidR="00E920D5" w:rsidRPr="00DE15BD">
        <w:rPr>
          <w:b/>
          <w:lang w:val="en-GB"/>
        </w:rPr>
        <w:t>the Police</w:t>
      </w:r>
      <w:r w:rsidR="00E920D5" w:rsidRPr="00DE15BD">
        <w:rPr>
          <w:lang w:val="en-GB"/>
        </w:rPr>
        <w:t xml:space="preserve"> search in both Europol and Interpol’s databases.</w:t>
      </w:r>
      <w:r w:rsidR="00012B45" w:rsidRPr="00DE15BD">
        <w:rPr>
          <w:lang w:val="en-GB"/>
        </w:rPr>
        <w:t xml:space="preserve"> </w:t>
      </w:r>
      <w:r w:rsidR="001C362B" w:rsidRPr="00DE15BD">
        <w:rPr>
          <w:lang w:val="en-GB"/>
        </w:rPr>
        <w:t>Applicants</w:t>
      </w:r>
      <w:r w:rsidR="00012B45" w:rsidRPr="00DE15BD">
        <w:rPr>
          <w:lang w:val="en-GB"/>
        </w:rPr>
        <w:t xml:space="preserve"> and </w:t>
      </w:r>
      <w:r w:rsidR="001C362B" w:rsidRPr="00DE15BD">
        <w:rPr>
          <w:lang w:val="en-GB"/>
        </w:rPr>
        <w:t>their</w:t>
      </w:r>
      <w:r w:rsidR="00012B45" w:rsidRPr="00DE15BD">
        <w:rPr>
          <w:lang w:val="en-GB"/>
        </w:rPr>
        <w:t xml:space="preserve"> spouse</w:t>
      </w:r>
      <w:r w:rsidR="001C362B" w:rsidRPr="00DE15BD">
        <w:rPr>
          <w:lang w:val="en-GB"/>
        </w:rPr>
        <w:t>s</w:t>
      </w:r>
      <w:r w:rsidR="00012B45" w:rsidRPr="00DE15BD">
        <w:rPr>
          <w:lang w:val="en-GB"/>
        </w:rPr>
        <w:t>/partner</w:t>
      </w:r>
      <w:r w:rsidR="001C362B" w:rsidRPr="00DE15BD">
        <w:rPr>
          <w:lang w:val="en-GB"/>
        </w:rPr>
        <w:t>s</w:t>
      </w:r>
      <w:r w:rsidR="00012B45" w:rsidRPr="00DE15BD">
        <w:rPr>
          <w:lang w:val="en-GB"/>
        </w:rPr>
        <w:t xml:space="preserve"> must </w:t>
      </w:r>
      <w:r w:rsidR="001C362B" w:rsidRPr="00DE15BD">
        <w:rPr>
          <w:lang w:val="en-GB"/>
        </w:rPr>
        <w:t xml:space="preserve">also </w:t>
      </w:r>
      <w:r w:rsidR="00012B45" w:rsidRPr="00DE15BD">
        <w:rPr>
          <w:lang w:val="en-GB"/>
        </w:rPr>
        <w:t xml:space="preserve">confirm, </w:t>
      </w:r>
      <w:r w:rsidR="001C362B" w:rsidRPr="00DE15BD">
        <w:rPr>
          <w:lang w:val="en-GB"/>
        </w:rPr>
        <w:t xml:space="preserve">through </w:t>
      </w:r>
      <w:r w:rsidR="00012B45" w:rsidRPr="00DE15BD">
        <w:rPr>
          <w:lang w:val="en-GB"/>
        </w:rPr>
        <w:t xml:space="preserve">a written declaration in a form provided by the Ministry of Interior, that they </w:t>
      </w:r>
      <w:r w:rsidR="00012B45" w:rsidRPr="00DE15BD">
        <w:rPr>
          <w:b/>
          <w:lang w:val="en-GB"/>
        </w:rPr>
        <w:t>do not intend to undertake any sort of employment in Cyprus</w:t>
      </w:r>
      <w:r w:rsidR="00012B45" w:rsidRPr="00DE15BD">
        <w:rPr>
          <w:lang w:val="en-GB"/>
        </w:rPr>
        <w:t xml:space="preserve">. </w:t>
      </w:r>
      <w:r w:rsidR="001C362B" w:rsidRPr="00DE15BD">
        <w:rPr>
          <w:lang w:val="en-GB"/>
        </w:rPr>
        <w:t>They</w:t>
      </w:r>
      <w:r w:rsidR="00012B45" w:rsidRPr="00DE15BD">
        <w:rPr>
          <w:lang w:val="en-GB"/>
        </w:rPr>
        <w:t xml:space="preserve"> </w:t>
      </w:r>
      <w:r w:rsidR="00637EF5" w:rsidRPr="00DE15BD">
        <w:rPr>
          <w:lang w:val="en-GB"/>
        </w:rPr>
        <w:t xml:space="preserve">can </w:t>
      </w:r>
      <w:r w:rsidR="00012B45" w:rsidRPr="00DE15BD">
        <w:rPr>
          <w:lang w:val="en-GB"/>
        </w:rPr>
        <w:t>be shareholders in a company registered in Cyprus, and the income from the dividends of such a company in Cyprus is not deemed to be an impediment for the purposes of obtaining an immigration permit.</w:t>
      </w:r>
    </w:p>
    <w:p w14:paraId="0A5C273D" w14:textId="77777777" w:rsidR="001C362B" w:rsidRPr="00DE15BD" w:rsidRDefault="001C362B" w:rsidP="00FA4F14">
      <w:pPr>
        <w:pStyle w:val="MMultilevel"/>
        <w:numPr>
          <w:ilvl w:val="0"/>
          <w:numId w:val="0"/>
        </w:numPr>
        <w:rPr>
          <w:b/>
          <w:lang w:val="en-GB"/>
        </w:rPr>
      </w:pPr>
    </w:p>
    <w:p w14:paraId="2DDF8ABC" w14:textId="79A4F2D1" w:rsidR="00012B45" w:rsidRPr="00DE15BD" w:rsidRDefault="00012B45" w:rsidP="00FA4F14">
      <w:pPr>
        <w:pStyle w:val="MMultilevel"/>
        <w:numPr>
          <w:ilvl w:val="0"/>
          <w:numId w:val="0"/>
        </w:numPr>
        <w:rPr>
          <w:lang w:val="en-GB"/>
        </w:rPr>
      </w:pPr>
      <w:r w:rsidRPr="00DE15BD">
        <w:rPr>
          <w:lang w:val="en-GB"/>
        </w:rPr>
        <w:t xml:space="preserve">Holders of an immigration permit according to the provisions of Regulation 6(2) of the Aliens and Immigration Regulations </w:t>
      </w:r>
      <w:r w:rsidRPr="00DE15BD">
        <w:rPr>
          <w:b/>
          <w:lang w:val="en-GB"/>
        </w:rPr>
        <w:t>must acquire residence in Cyprus within one year</w:t>
      </w:r>
      <w:r w:rsidRPr="00DE15BD">
        <w:rPr>
          <w:lang w:val="en-GB"/>
        </w:rPr>
        <w:t xml:space="preserve"> from the issuance of the </w:t>
      </w:r>
      <w:r w:rsidR="00DA7A85" w:rsidRPr="00DE15BD">
        <w:rPr>
          <w:lang w:val="en-GB"/>
        </w:rPr>
        <w:t xml:space="preserve">residence </w:t>
      </w:r>
      <w:r w:rsidR="0091251A" w:rsidRPr="00DE15BD">
        <w:rPr>
          <w:lang w:val="en-GB"/>
        </w:rPr>
        <w:t>p</w:t>
      </w:r>
      <w:r w:rsidRPr="00DE15BD">
        <w:rPr>
          <w:lang w:val="en-GB"/>
        </w:rPr>
        <w:t xml:space="preserve">ermit. At the same time, holders of such a permit, as well as their dependants who are included in the permit are </w:t>
      </w:r>
      <w:r w:rsidRPr="00DE15BD">
        <w:rPr>
          <w:b/>
          <w:lang w:val="en-GB"/>
        </w:rPr>
        <w:t>required not to be absent from Cyprus for more than two years</w:t>
      </w:r>
      <w:r w:rsidRPr="00DE15BD">
        <w:rPr>
          <w:lang w:val="en-GB"/>
        </w:rPr>
        <w:t>, hence</w:t>
      </w:r>
      <w:r w:rsidRPr="00DE15BD">
        <w:rPr>
          <w:b/>
          <w:lang w:val="en-GB"/>
        </w:rPr>
        <w:t xml:space="preserve"> physical presence is required</w:t>
      </w:r>
      <w:r w:rsidRPr="00DE15BD">
        <w:rPr>
          <w:lang w:val="en-GB"/>
        </w:rPr>
        <w:t>. Presence in Cyprus is monitored by the Ministry of Interior through an electronic database in which all arrivals and departures from Cyprus are registered. If the applicant has been absent from Cyprus for more than two years, the immigration permit is cancelled pursuant to Regulation 6(3)</w:t>
      </w:r>
      <w:r w:rsidR="00637EF5" w:rsidRPr="00DE15BD">
        <w:rPr>
          <w:lang w:val="en-GB"/>
        </w:rPr>
        <w:t xml:space="preserve"> or (4)</w:t>
      </w:r>
      <w:r w:rsidRPr="00DE15BD">
        <w:rPr>
          <w:lang w:val="en-GB"/>
        </w:rPr>
        <w:t xml:space="preserve"> of the Aliens and Immigration Regulations.</w:t>
      </w:r>
    </w:p>
    <w:p w14:paraId="0F28DE64" w14:textId="77777777" w:rsidR="00E00612" w:rsidRPr="00DE15BD" w:rsidRDefault="00E00612" w:rsidP="00FA4F14">
      <w:pPr>
        <w:pStyle w:val="MMultilevel"/>
        <w:numPr>
          <w:ilvl w:val="0"/>
          <w:numId w:val="0"/>
        </w:numPr>
        <w:rPr>
          <w:lang w:val="en-GB"/>
        </w:rPr>
      </w:pPr>
    </w:p>
    <w:p w14:paraId="61FCA005" w14:textId="7FAF5B94" w:rsidR="00421CF0" w:rsidRPr="00DE15BD" w:rsidRDefault="00421CF0" w:rsidP="009C7B50">
      <w:pPr>
        <w:pStyle w:val="MMultilevel"/>
        <w:numPr>
          <w:ilvl w:val="0"/>
          <w:numId w:val="0"/>
        </w:numPr>
        <w:rPr>
          <w:lang w:val="en-GB"/>
        </w:rPr>
      </w:pPr>
      <w:r w:rsidRPr="00DE15BD">
        <w:rPr>
          <w:lang w:val="en-GB"/>
        </w:rPr>
        <w:t>T</w:t>
      </w:r>
      <w:r w:rsidR="00F26188" w:rsidRPr="00DE15BD">
        <w:rPr>
          <w:lang w:val="en-GB"/>
        </w:rPr>
        <w:t xml:space="preserve">he annual income on the applicants’ statement has to be increased by </w:t>
      </w:r>
      <w:r w:rsidR="00C71AF5">
        <w:rPr>
          <w:lang w:val="en-GB"/>
        </w:rPr>
        <w:t xml:space="preserve">EUR </w:t>
      </w:r>
      <w:r w:rsidR="00F26188" w:rsidRPr="00DE15BD">
        <w:rPr>
          <w:lang w:val="en-GB"/>
        </w:rPr>
        <w:t>5</w:t>
      </w:r>
      <w:r w:rsidR="00C71AF5">
        <w:rPr>
          <w:lang w:val="en-GB"/>
        </w:rPr>
        <w:t>,</w:t>
      </w:r>
      <w:r w:rsidR="00F26188" w:rsidRPr="00DE15BD">
        <w:rPr>
          <w:lang w:val="en-GB"/>
        </w:rPr>
        <w:t xml:space="preserve">000 for every dependent person of his/her family (spouse and children) and by </w:t>
      </w:r>
      <w:r w:rsidR="00C71AF5">
        <w:rPr>
          <w:lang w:val="en-GB"/>
        </w:rPr>
        <w:t xml:space="preserve">EUR </w:t>
      </w:r>
      <w:r w:rsidR="00F26188" w:rsidRPr="00DE15BD">
        <w:rPr>
          <w:lang w:val="en-GB"/>
        </w:rPr>
        <w:t>8</w:t>
      </w:r>
      <w:r w:rsidR="00C71AF5">
        <w:rPr>
          <w:lang w:val="en-GB"/>
        </w:rPr>
        <w:t>,</w:t>
      </w:r>
      <w:r w:rsidR="00F26188" w:rsidRPr="00DE15BD">
        <w:rPr>
          <w:lang w:val="en-GB"/>
        </w:rPr>
        <w:t xml:space="preserve">000 for every dependent parent or parent-in-law. </w:t>
      </w:r>
      <w:r w:rsidRPr="00DE15BD">
        <w:rPr>
          <w:lang w:val="en-GB"/>
        </w:rPr>
        <w:t xml:space="preserve">The Immigration Permit issued to an applicant </w:t>
      </w:r>
      <w:r w:rsidR="009C7B50" w:rsidRPr="00DE15BD">
        <w:rPr>
          <w:lang w:val="en-GB"/>
        </w:rPr>
        <w:t>may cover</w:t>
      </w:r>
      <w:r w:rsidRPr="00DE15BD">
        <w:rPr>
          <w:lang w:val="en-GB"/>
        </w:rPr>
        <w:t xml:space="preserve">: </w:t>
      </w:r>
    </w:p>
    <w:p w14:paraId="44C13BCB" w14:textId="4729B1F8" w:rsidR="00421CF0" w:rsidRPr="00C71AF5" w:rsidRDefault="00421CF0" w:rsidP="00C71AF5">
      <w:pPr>
        <w:pStyle w:val="MMultilevel"/>
        <w:ind w:left="709" w:hanging="283"/>
        <w:rPr>
          <w:lang w:val="en-GB"/>
        </w:rPr>
      </w:pPr>
      <w:r w:rsidRPr="00C71AF5">
        <w:rPr>
          <w:lang w:val="en-GB"/>
        </w:rPr>
        <w:t xml:space="preserve">His/her spouse and children under the age of 18  </w:t>
      </w:r>
    </w:p>
    <w:p w14:paraId="397F77E3" w14:textId="77777777" w:rsidR="009C7B50" w:rsidRPr="00C71AF5" w:rsidRDefault="00421CF0" w:rsidP="00C71AF5">
      <w:pPr>
        <w:pStyle w:val="MMultilevel"/>
        <w:ind w:left="709" w:hanging="283"/>
        <w:rPr>
          <w:lang w:val="en-GB"/>
        </w:rPr>
      </w:pPr>
      <w:r w:rsidRPr="00C71AF5">
        <w:rPr>
          <w:lang w:val="en-GB"/>
        </w:rPr>
        <w:t xml:space="preserve">Unmarried children aged between 18 and 25, (students abroad with at least six months of remaining studies and financially dependent on the applicant). </w:t>
      </w:r>
    </w:p>
    <w:p w14:paraId="7795876E" w14:textId="77777777" w:rsidR="009C7B50" w:rsidRPr="00DE15BD" w:rsidRDefault="009C7B50" w:rsidP="009C7B50">
      <w:pPr>
        <w:pStyle w:val="MMultilevel"/>
        <w:numPr>
          <w:ilvl w:val="0"/>
          <w:numId w:val="0"/>
        </w:numPr>
        <w:rPr>
          <w:lang w:val="en-GB"/>
        </w:rPr>
      </w:pPr>
    </w:p>
    <w:p w14:paraId="6E8A6A91" w14:textId="0AFB73CF" w:rsidR="00421CF0" w:rsidRPr="00DE15BD" w:rsidRDefault="009C7B50" w:rsidP="009C7B50">
      <w:pPr>
        <w:pStyle w:val="MMultilevel"/>
        <w:numPr>
          <w:ilvl w:val="0"/>
          <w:numId w:val="0"/>
        </w:numPr>
        <w:rPr>
          <w:lang w:val="en-GB"/>
        </w:rPr>
      </w:pPr>
      <w:r w:rsidRPr="00DE15BD">
        <w:rPr>
          <w:lang w:val="en-GB"/>
        </w:rPr>
        <w:t xml:space="preserve">Unmarried children between 18 and 25 </w:t>
      </w:r>
      <w:r w:rsidR="00421CF0" w:rsidRPr="00DE15BD">
        <w:rPr>
          <w:lang w:val="en-GB"/>
        </w:rPr>
        <w:t>may alternatively submit a separate application to obtain an Immigration Permit, which remains in force even if the holders have exceeded the age of 25 years old and even if they do not remain unmarried and/or students and/or financially dependent on their parents. Their future spouses or underage children cannot be included as dependent persons on this permit.</w:t>
      </w:r>
    </w:p>
    <w:p w14:paraId="0BDFC625" w14:textId="77777777" w:rsidR="009C7B50" w:rsidRPr="00DE15BD" w:rsidRDefault="009C7B50" w:rsidP="009C7B50">
      <w:pPr>
        <w:pStyle w:val="MMultilevel"/>
        <w:numPr>
          <w:ilvl w:val="0"/>
          <w:numId w:val="0"/>
        </w:numPr>
        <w:rPr>
          <w:lang w:val="en-GB"/>
        </w:rPr>
      </w:pPr>
    </w:p>
    <w:p w14:paraId="49A59012" w14:textId="70E6A3BC" w:rsidR="009C7B50" w:rsidRPr="00DE15BD" w:rsidRDefault="00421CF0" w:rsidP="009C7B50">
      <w:pPr>
        <w:pStyle w:val="MMultilevel"/>
        <w:numPr>
          <w:ilvl w:val="0"/>
          <w:numId w:val="0"/>
        </w:numPr>
        <w:rPr>
          <w:lang w:val="en-GB"/>
        </w:rPr>
      </w:pPr>
      <w:r w:rsidRPr="00DE15BD">
        <w:rPr>
          <w:lang w:val="en-GB"/>
        </w:rPr>
        <w:t>Children who wish to study in an</w:t>
      </w:r>
      <w:r w:rsidR="00C71AF5">
        <w:rPr>
          <w:b/>
          <w:lang w:val="en-GB"/>
        </w:rPr>
        <w:t xml:space="preserve"> </w:t>
      </w:r>
      <w:r w:rsidRPr="00DE15BD">
        <w:rPr>
          <w:lang w:val="en-GB"/>
        </w:rPr>
        <w:t>institution of tertiary education in the Republic of Cyprus</w:t>
      </w:r>
      <w:r w:rsidR="009C7B50" w:rsidRPr="00DE15BD">
        <w:rPr>
          <w:lang w:val="en-GB"/>
        </w:rPr>
        <w:t xml:space="preserve">, </w:t>
      </w:r>
      <w:r w:rsidRPr="00DE15BD">
        <w:rPr>
          <w:lang w:val="en-GB"/>
        </w:rPr>
        <w:t>have to submit through the institution an application for acquisition of a temporary residence permit in the Republic as students, according to the provisions of the relevant legislation (EU Directive). After the completion of their studies in the Republic of Cyprus, these children regardless of their age, will be able to submit their own application to obtain an Immigration Permit</w:t>
      </w:r>
      <w:r w:rsidR="009C7B50" w:rsidRPr="00DE15BD">
        <w:rPr>
          <w:lang w:val="en-GB"/>
        </w:rPr>
        <w:t>.</w:t>
      </w:r>
    </w:p>
    <w:p w14:paraId="05B229D8" w14:textId="77777777" w:rsidR="00C71AF5" w:rsidRDefault="00C71AF5" w:rsidP="009C7B50">
      <w:pPr>
        <w:pStyle w:val="MMultilevel"/>
        <w:numPr>
          <w:ilvl w:val="0"/>
          <w:numId w:val="0"/>
        </w:numPr>
        <w:rPr>
          <w:lang w:val="en-GB"/>
        </w:rPr>
      </w:pPr>
    </w:p>
    <w:p w14:paraId="212E7A24" w14:textId="45541B88" w:rsidR="009C7B50" w:rsidRPr="00DE15BD" w:rsidRDefault="009C7B50" w:rsidP="009C7B50">
      <w:pPr>
        <w:pStyle w:val="MMultilevel"/>
        <w:numPr>
          <w:ilvl w:val="0"/>
          <w:numId w:val="0"/>
        </w:numPr>
        <w:rPr>
          <w:lang w:val="en-GB"/>
        </w:rPr>
      </w:pPr>
      <w:r w:rsidRPr="00DE15BD">
        <w:rPr>
          <w:lang w:val="en-GB"/>
        </w:rPr>
        <w:t xml:space="preserve">An Immigration Permit may also be granted to children of the applicant over the age of 18, who are not financially dependent on the applicant, provided that the market value of the acquired real estate attributed to each such child is at least </w:t>
      </w:r>
      <w:r w:rsidR="00C71AF5">
        <w:rPr>
          <w:lang w:val="en-GB"/>
        </w:rPr>
        <w:t xml:space="preserve">EUR </w:t>
      </w:r>
      <w:r w:rsidRPr="00DE15BD">
        <w:rPr>
          <w:lang w:val="en-GB"/>
        </w:rPr>
        <w:t>300</w:t>
      </w:r>
      <w:r w:rsidR="00C71AF5">
        <w:rPr>
          <w:lang w:val="en-GB"/>
        </w:rPr>
        <w:t>,</w:t>
      </w:r>
      <w:r w:rsidRPr="00DE15BD">
        <w:rPr>
          <w:lang w:val="en-GB"/>
        </w:rPr>
        <w:t>000 (excluding V.A.T.).</w:t>
      </w:r>
    </w:p>
    <w:p w14:paraId="046174ED" w14:textId="77777777" w:rsidR="009C7B50" w:rsidRPr="00DE15BD" w:rsidRDefault="009C7B50" w:rsidP="009C7B50">
      <w:pPr>
        <w:pStyle w:val="MMultilevel"/>
        <w:numPr>
          <w:ilvl w:val="0"/>
          <w:numId w:val="0"/>
        </w:numPr>
        <w:rPr>
          <w:lang w:val="en-GB"/>
        </w:rPr>
      </w:pPr>
    </w:p>
    <w:p w14:paraId="32C5EE56" w14:textId="2480C2E7" w:rsidR="00421CF0" w:rsidRPr="00DE15BD" w:rsidRDefault="00421CF0" w:rsidP="009C7B50">
      <w:pPr>
        <w:pStyle w:val="MMultilevel"/>
        <w:numPr>
          <w:ilvl w:val="0"/>
          <w:numId w:val="0"/>
        </w:numPr>
        <w:rPr>
          <w:lang w:val="en-GB"/>
        </w:rPr>
      </w:pPr>
      <w:r w:rsidRPr="00DE15BD">
        <w:rPr>
          <w:lang w:val="en-GB"/>
        </w:rPr>
        <w:lastRenderedPageBreak/>
        <w:t xml:space="preserve">An Immigration Permit may also be granted to the parents and parents-in-law of the applicant/holder of an Immigration Permit with the submission of an application and the payment of the relevant fee, with the condition that the applicant/holder of an Immigration Permit presents only an additional annual income of </w:t>
      </w:r>
      <w:r w:rsidR="00C71AF5">
        <w:rPr>
          <w:lang w:val="en-GB"/>
        </w:rPr>
        <w:t xml:space="preserve">EUR </w:t>
      </w:r>
      <w:r w:rsidRPr="00DE15BD">
        <w:rPr>
          <w:lang w:val="en-GB"/>
        </w:rPr>
        <w:t>8</w:t>
      </w:r>
      <w:r w:rsidR="00C71AF5">
        <w:rPr>
          <w:lang w:val="en-GB"/>
        </w:rPr>
        <w:t>,</w:t>
      </w:r>
      <w:r w:rsidRPr="00DE15BD">
        <w:rPr>
          <w:lang w:val="en-GB"/>
        </w:rPr>
        <w:t xml:space="preserve">000 for every such dependent parent. It is noted that every such dependent parent, shall submit with his/her application, all the documentation </w:t>
      </w:r>
      <w:r w:rsidR="009C7B50" w:rsidRPr="00DE15BD">
        <w:rPr>
          <w:lang w:val="en-GB"/>
        </w:rPr>
        <w:t>defined in the relevant list. </w:t>
      </w:r>
      <w:r w:rsidR="009C7B50" w:rsidRPr="00DE15BD">
        <w:rPr>
          <w:lang w:val="en-GB"/>
        </w:rPr>
        <w:br/>
      </w:r>
    </w:p>
    <w:p w14:paraId="6428828C" w14:textId="62A4249C" w:rsidR="00E00612" w:rsidRPr="00DE15BD" w:rsidRDefault="00C71AF5" w:rsidP="00F26188">
      <w:pPr>
        <w:pStyle w:val="MMultilevel"/>
        <w:numPr>
          <w:ilvl w:val="0"/>
          <w:numId w:val="0"/>
        </w:numPr>
        <w:rPr>
          <w:lang w:val="en-GB"/>
        </w:rPr>
      </w:pPr>
      <w:r>
        <w:rPr>
          <w:lang w:val="en-GB"/>
        </w:rPr>
        <w:t>Statistical i</w:t>
      </w:r>
      <w:r w:rsidR="00E00612" w:rsidRPr="00DE15BD">
        <w:rPr>
          <w:lang w:val="en-GB"/>
        </w:rPr>
        <w:t>nformation on application</w:t>
      </w:r>
      <w:r>
        <w:rPr>
          <w:lang w:val="en-GB"/>
        </w:rPr>
        <w:t>s</w:t>
      </w:r>
      <w:r w:rsidR="00E00612" w:rsidRPr="00DE15BD">
        <w:rPr>
          <w:lang w:val="en-GB"/>
        </w:rPr>
        <w:t xml:space="preserve"> of family members is missing</w:t>
      </w:r>
      <w:r>
        <w:rPr>
          <w:lang w:val="en-GB"/>
        </w:rPr>
        <w:t>.</w:t>
      </w:r>
    </w:p>
    <w:p w14:paraId="71D0F3A8" w14:textId="77777777" w:rsidR="001C362B" w:rsidRPr="00DE15BD" w:rsidRDefault="001C362B" w:rsidP="004841DD">
      <w:pPr>
        <w:pStyle w:val="MMultilevel"/>
        <w:numPr>
          <w:ilvl w:val="0"/>
          <w:numId w:val="0"/>
        </w:numPr>
        <w:rPr>
          <w:lang w:val="en-GB"/>
        </w:rPr>
      </w:pPr>
    </w:p>
    <w:p w14:paraId="43B86E2E" w14:textId="35111F0F" w:rsidR="00E920D5" w:rsidRPr="00DE15BD" w:rsidRDefault="00864C0D" w:rsidP="004841DD">
      <w:pPr>
        <w:pStyle w:val="MMultilevel"/>
        <w:numPr>
          <w:ilvl w:val="0"/>
          <w:numId w:val="0"/>
        </w:numPr>
        <w:rPr>
          <w:lang w:val="en-GB"/>
        </w:rPr>
      </w:pPr>
      <w:r w:rsidRPr="00DE15BD">
        <w:rPr>
          <w:lang w:val="en-GB"/>
        </w:rPr>
        <w:t xml:space="preserve">The Policy does not provide specific </w:t>
      </w:r>
      <w:r w:rsidRPr="00DE15BD">
        <w:rPr>
          <w:b/>
          <w:lang w:val="en-GB"/>
        </w:rPr>
        <w:t>reasons for turning down application</w:t>
      </w:r>
      <w:r w:rsidR="001C362B" w:rsidRPr="00DE15BD">
        <w:rPr>
          <w:b/>
          <w:lang w:val="en-GB"/>
        </w:rPr>
        <w:t>s</w:t>
      </w:r>
      <w:r w:rsidRPr="00DE15BD">
        <w:rPr>
          <w:lang w:val="en-GB"/>
        </w:rPr>
        <w:t xml:space="preserve">. </w:t>
      </w:r>
      <w:r w:rsidR="00637EF5" w:rsidRPr="00DE15BD">
        <w:rPr>
          <w:lang w:val="en-GB"/>
        </w:rPr>
        <w:t>A</w:t>
      </w:r>
      <w:r w:rsidR="00E920D5" w:rsidRPr="00DE15BD">
        <w:rPr>
          <w:lang w:val="en-GB"/>
        </w:rPr>
        <w:t>pplication</w:t>
      </w:r>
      <w:r w:rsidR="00637EF5" w:rsidRPr="00DE15BD">
        <w:rPr>
          <w:lang w:val="en-GB"/>
        </w:rPr>
        <w:t>s</w:t>
      </w:r>
      <w:r w:rsidR="00E920D5" w:rsidRPr="00DE15BD">
        <w:rPr>
          <w:lang w:val="en-GB"/>
        </w:rPr>
        <w:t xml:space="preserve"> may not be processed if the fee is not paid upon submission, </w:t>
      </w:r>
      <w:r w:rsidR="00637EF5" w:rsidRPr="00DE15BD">
        <w:rPr>
          <w:lang w:val="en-GB"/>
        </w:rPr>
        <w:t>they are</w:t>
      </w:r>
      <w:r w:rsidR="00E920D5" w:rsidRPr="00DE15BD">
        <w:rPr>
          <w:lang w:val="en-GB"/>
        </w:rPr>
        <w:t xml:space="preserve"> incomplete or the criteria are not met. Under the General Principles of Administrative Law of 1999, any decision issued under </w:t>
      </w:r>
      <w:r w:rsidR="00637EF5" w:rsidRPr="00DE15BD">
        <w:rPr>
          <w:lang w:val="en-GB"/>
        </w:rPr>
        <w:t xml:space="preserve">an authority’s </w:t>
      </w:r>
      <w:r w:rsidR="00E920D5" w:rsidRPr="00DE15BD">
        <w:rPr>
          <w:lang w:val="en-GB"/>
        </w:rPr>
        <w:t xml:space="preserve">discretionary power must be fully and properly justified if it is against the </w:t>
      </w:r>
      <w:r w:rsidR="00637EF5" w:rsidRPr="00DE15BD">
        <w:rPr>
          <w:lang w:val="en-GB"/>
        </w:rPr>
        <w:t xml:space="preserve">applicant’s </w:t>
      </w:r>
      <w:r w:rsidR="00E920D5" w:rsidRPr="00DE15BD">
        <w:rPr>
          <w:lang w:val="en-GB"/>
        </w:rPr>
        <w:t xml:space="preserve">will, if it </w:t>
      </w:r>
      <w:r w:rsidR="001C362B" w:rsidRPr="00DE15BD">
        <w:rPr>
          <w:lang w:val="en-GB"/>
        </w:rPr>
        <w:t xml:space="preserve">departs </w:t>
      </w:r>
      <w:r w:rsidR="00E920D5" w:rsidRPr="00DE15BD">
        <w:rPr>
          <w:lang w:val="en-GB"/>
        </w:rPr>
        <w:t xml:space="preserve">from past policies or previous decisions, if it consists of an exceptional measure or if the law provides that the decision should be justified. </w:t>
      </w:r>
    </w:p>
    <w:p w14:paraId="1567BAEC" w14:textId="77777777" w:rsidR="00E920D5" w:rsidRPr="00DE15BD" w:rsidRDefault="00E920D5" w:rsidP="00FC0CA6">
      <w:pPr>
        <w:pStyle w:val="MMultilevel"/>
        <w:numPr>
          <w:ilvl w:val="0"/>
          <w:numId w:val="0"/>
        </w:numPr>
        <w:ind w:left="425" w:hanging="425"/>
        <w:rPr>
          <w:lang w:val="en-GB"/>
        </w:rPr>
      </w:pPr>
    </w:p>
    <w:p w14:paraId="6CEF8194" w14:textId="1D5C0C06" w:rsidR="008F2431" w:rsidRPr="00DE15BD" w:rsidRDefault="008F2431" w:rsidP="004841DD">
      <w:pPr>
        <w:pStyle w:val="MMultilevel"/>
        <w:numPr>
          <w:ilvl w:val="0"/>
          <w:numId w:val="0"/>
        </w:numPr>
        <w:rPr>
          <w:lang w:val="en-GB"/>
        </w:rPr>
      </w:pPr>
      <w:r w:rsidRPr="00DE15BD">
        <w:rPr>
          <w:lang w:val="en-GB"/>
        </w:rPr>
        <w:t xml:space="preserve">There is </w:t>
      </w:r>
      <w:r w:rsidRPr="00DE15BD">
        <w:rPr>
          <w:b/>
          <w:bCs w:val="0"/>
          <w:lang w:val="en-GB"/>
        </w:rPr>
        <w:t>no official control</w:t>
      </w:r>
      <w:r w:rsidRPr="00DE15BD">
        <w:rPr>
          <w:lang w:val="en-GB"/>
        </w:rPr>
        <w:t xml:space="preserve"> over the </w:t>
      </w:r>
      <w:r w:rsidR="0032797B" w:rsidRPr="00DE15BD">
        <w:rPr>
          <w:lang w:val="en-GB"/>
        </w:rPr>
        <w:t xml:space="preserve">public authorities involved in the implementation of the </w:t>
      </w:r>
      <w:r w:rsidR="001C362B" w:rsidRPr="00DE15BD">
        <w:rPr>
          <w:lang w:val="en-GB"/>
        </w:rPr>
        <w:t xml:space="preserve">scheme </w:t>
      </w:r>
      <w:r w:rsidR="0032797B" w:rsidRPr="00DE15BD">
        <w:rPr>
          <w:lang w:val="en-GB"/>
        </w:rPr>
        <w:t xml:space="preserve">or </w:t>
      </w:r>
      <w:r w:rsidR="00637EF5" w:rsidRPr="00DE15BD">
        <w:rPr>
          <w:lang w:val="en-GB"/>
        </w:rPr>
        <w:t xml:space="preserve">over </w:t>
      </w:r>
      <w:r w:rsidRPr="00DE15BD">
        <w:rPr>
          <w:lang w:val="en-GB"/>
        </w:rPr>
        <w:t>non-public bodies (agents) providing services to applicants under the Cypriot legislation. No scrutiny mechanism</w:t>
      </w:r>
      <w:r w:rsidR="00637EF5" w:rsidRPr="00DE15BD">
        <w:rPr>
          <w:lang w:val="en-GB"/>
        </w:rPr>
        <w:t xml:space="preserve">s </w:t>
      </w:r>
      <w:r w:rsidRPr="00DE15BD">
        <w:rPr>
          <w:lang w:val="en-GB"/>
        </w:rPr>
        <w:t>or reporting obligations for the Ministry of Interior</w:t>
      </w:r>
      <w:r w:rsidR="00637EF5" w:rsidRPr="00DE15BD">
        <w:rPr>
          <w:lang w:val="en-GB"/>
        </w:rPr>
        <w:t xml:space="preserve"> were identified</w:t>
      </w:r>
      <w:r w:rsidRPr="00DE15BD">
        <w:rPr>
          <w:lang w:val="en-GB"/>
        </w:rPr>
        <w:t>.</w:t>
      </w:r>
      <w:r w:rsidR="001C362B" w:rsidRPr="00DE15BD">
        <w:rPr>
          <w:lang w:val="en-GB"/>
        </w:rPr>
        <w:t xml:space="preserve"> </w:t>
      </w:r>
      <w:r w:rsidR="0032797B" w:rsidRPr="00DE15BD">
        <w:rPr>
          <w:lang w:val="en-GB"/>
        </w:rPr>
        <w:t xml:space="preserve">There is however a general obligation </w:t>
      </w:r>
      <w:r w:rsidRPr="00DE15BD">
        <w:rPr>
          <w:lang w:val="en-GB"/>
        </w:rPr>
        <w:t>under the Providing Evidence and Information at the House of Parliament and Parliamentary Committees Law of 1985,</w:t>
      </w:r>
      <w:r w:rsidRPr="00DE15BD">
        <w:rPr>
          <w:vertAlign w:val="superscript"/>
          <w:lang w:val="en-GB"/>
        </w:rPr>
        <w:footnoteReference w:id="10"/>
      </w:r>
      <w:r w:rsidRPr="00DE15BD">
        <w:rPr>
          <w:lang w:val="en-GB"/>
        </w:rPr>
        <w:t xml:space="preserve"> </w:t>
      </w:r>
      <w:r w:rsidR="0032797B" w:rsidRPr="00DE15BD">
        <w:rPr>
          <w:lang w:val="en-GB"/>
        </w:rPr>
        <w:t xml:space="preserve">under which </w:t>
      </w:r>
      <w:r w:rsidRPr="00DE15BD">
        <w:rPr>
          <w:lang w:val="en-GB"/>
        </w:rPr>
        <w:t xml:space="preserve">the House of Representatives is given the power to request documents and/or information on any subject that the members of Parliament wish to investigate as part of their work at the Parliamentary Committees for the benefit of the people. While this provision is not specifically targeted at monitoring the investors’ residence scheme, this form of </w:t>
      </w:r>
      <w:r w:rsidRPr="00DE15BD">
        <w:rPr>
          <w:b/>
          <w:lang w:val="en-GB"/>
        </w:rPr>
        <w:t>parliamentary scrutiny</w:t>
      </w:r>
      <w:r w:rsidRPr="00DE15BD">
        <w:rPr>
          <w:lang w:val="en-GB"/>
        </w:rPr>
        <w:t xml:space="preserve"> could be used.</w:t>
      </w:r>
    </w:p>
    <w:p w14:paraId="0D1F62E5" w14:textId="77777777" w:rsidR="0032797B" w:rsidRPr="00DE15BD" w:rsidRDefault="0032797B" w:rsidP="00FC0CA6">
      <w:pPr>
        <w:pStyle w:val="MMultilevel"/>
        <w:numPr>
          <w:ilvl w:val="0"/>
          <w:numId w:val="0"/>
        </w:numPr>
        <w:ind w:left="425"/>
        <w:rPr>
          <w:lang w:val="en-GB"/>
        </w:rPr>
      </w:pPr>
    </w:p>
    <w:p w14:paraId="1D4D4B30" w14:textId="5628BFF3" w:rsidR="008F2431" w:rsidRPr="00DE15BD" w:rsidRDefault="00680814" w:rsidP="004841DD">
      <w:pPr>
        <w:pStyle w:val="MMultilevel"/>
        <w:numPr>
          <w:ilvl w:val="0"/>
          <w:numId w:val="0"/>
        </w:numPr>
        <w:rPr>
          <w:i/>
          <w:color w:val="FF0000"/>
          <w:lang w:val="en-GB"/>
        </w:rPr>
      </w:pPr>
      <w:r w:rsidRPr="00DE15BD">
        <w:rPr>
          <w:lang w:val="en-GB"/>
        </w:rPr>
        <w:t xml:space="preserve">The </w:t>
      </w:r>
      <w:r w:rsidR="00DA7A85" w:rsidRPr="00DE15BD">
        <w:rPr>
          <w:lang w:val="en-GB"/>
        </w:rPr>
        <w:t xml:space="preserve">residence </w:t>
      </w:r>
      <w:r w:rsidRPr="00DE15BD">
        <w:rPr>
          <w:lang w:val="en-GB"/>
        </w:rPr>
        <w:t xml:space="preserve">permit provided to investors does not </w:t>
      </w:r>
      <w:r w:rsidR="001C362B" w:rsidRPr="00DE15BD">
        <w:rPr>
          <w:lang w:val="en-GB"/>
        </w:rPr>
        <w:t xml:space="preserve">entitle </w:t>
      </w:r>
      <w:r w:rsidRPr="00DE15BD">
        <w:rPr>
          <w:lang w:val="en-GB"/>
        </w:rPr>
        <w:t xml:space="preserve">them </w:t>
      </w:r>
      <w:r w:rsidR="001C362B" w:rsidRPr="00DE15BD">
        <w:rPr>
          <w:lang w:val="en-GB"/>
        </w:rPr>
        <w:t xml:space="preserve">to </w:t>
      </w:r>
      <w:r w:rsidRPr="00DE15BD">
        <w:rPr>
          <w:lang w:val="en-GB"/>
        </w:rPr>
        <w:t xml:space="preserve">any rights or benefits other than the </w:t>
      </w:r>
      <w:r w:rsidRPr="00DE15BD">
        <w:rPr>
          <w:b/>
          <w:lang w:val="en-GB"/>
        </w:rPr>
        <w:t>right to enter, re-enter and stay</w:t>
      </w:r>
      <w:r w:rsidRPr="00DE15BD">
        <w:rPr>
          <w:lang w:val="en-GB"/>
        </w:rPr>
        <w:t xml:space="preserve"> in the areas controlled by the Republic of Cyprus</w:t>
      </w:r>
      <w:r w:rsidR="00C71AF5">
        <w:rPr>
          <w:lang w:val="en-GB"/>
        </w:rPr>
        <w:t>.</w:t>
      </w:r>
      <w:r w:rsidR="00DB2B44" w:rsidRPr="00DE15BD">
        <w:rPr>
          <w:rStyle w:val="FootnoteReference"/>
          <w:lang w:val="en-GB"/>
        </w:rPr>
        <w:footnoteReference w:id="11"/>
      </w:r>
      <w:r w:rsidRPr="00DE15BD">
        <w:rPr>
          <w:lang w:val="en-GB"/>
        </w:rPr>
        <w:t xml:space="preserve"> </w:t>
      </w:r>
    </w:p>
    <w:p w14:paraId="56AA0CD9" w14:textId="77777777" w:rsidR="00E920D5" w:rsidRPr="00DE15BD" w:rsidRDefault="00E920D5" w:rsidP="00FC0CA6">
      <w:pPr>
        <w:spacing w:after="0" w:line="240" w:lineRule="auto"/>
        <w:jc w:val="both"/>
        <w:outlineLvl w:val="0"/>
        <w:rPr>
          <w:sz w:val="22"/>
          <w:szCs w:val="22"/>
        </w:rPr>
      </w:pPr>
    </w:p>
    <w:p w14:paraId="4EEBAE4D" w14:textId="1B6D7248" w:rsidR="00FC0CA6" w:rsidRPr="00DE15BD" w:rsidRDefault="00FB5C8C" w:rsidP="004841DD">
      <w:pPr>
        <w:spacing w:after="0" w:line="240" w:lineRule="auto"/>
        <w:jc w:val="both"/>
        <w:rPr>
          <w:b/>
          <w:i/>
          <w:sz w:val="22"/>
          <w:szCs w:val="22"/>
        </w:rPr>
      </w:pPr>
      <w:r w:rsidRPr="00DE15BD">
        <w:rPr>
          <w:b/>
          <w:i/>
          <w:sz w:val="22"/>
          <w:szCs w:val="22"/>
        </w:rPr>
        <w:t xml:space="preserve">Economic </w:t>
      </w:r>
      <w:r w:rsidR="00FC0CA6" w:rsidRPr="00DE15BD">
        <w:rPr>
          <w:b/>
          <w:i/>
          <w:sz w:val="22"/>
          <w:szCs w:val="22"/>
        </w:rPr>
        <w:t xml:space="preserve">impact </w:t>
      </w:r>
      <w:r w:rsidR="003E4C5A" w:rsidRPr="00DE15BD">
        <w:rPr>
          <w:b/>
          <w:i/>
          <w:sz w:val="22"/>
          <w:szCs w:val="22"/>
        </w:rPr>
        <w:t>of the schemes</w:t>
      </w:r>
    </w:p>
    <w:p w14:paraId="18A5453C" w14:textId="77777777" w:rsidR="00FC0CA6" w:rsidRPr="00DE15BD" w:rsidRDefault="00FC0CA6" w:rsidP="004841DD">
      <w:pPr>
        <w:spacing w:after="0" w:line="240" w:lineRule="auto"/>
        <w:jc w:val="both"/>
        <w:rPr>
          <w:b/>
          <w:i/>
          <w:sz w:val="22"/>
          <w:szCs w:val="22"/>
        </w:rPr>
      </w:pPr>
    </w:p>
    <w:p w14:paraId="2D7A24D3" w14:textId="16178AF1" w:rsidR="00637EF5" w:rsidRPr="00DE15BD" w:rsidRDefault="001B2883" w:rsidP="00637EF5">
      <w:pPr>
        <w:spacing w:after="0" w:line="240" w:lineRule="auto"/>
        <w:jc w:val="both"/>
        <w:rPr>
          <w:sz w:val="22"/>
          <w:szCs w:val="22"/>
        </w:rPr>
      </w:pPr>
      <w:r w:rsidRPr="00DE15BD">
        <w:rPr>
          <w:bCs/>
          <w:sz w:val="22"/>
          <w:szCs w:val="22"/>
        </w:rPr>
        <w:t>As</w:t>
      </w:r>
      <w:r w:rsidR="00E838EA" w:rsidRPr="00DE15BD">
        <w:rPr>
          <w:bCs/>
          <w:sz w:val="22"/>
          <w:szCs w:val="22"/>
        </w:rPr>
        <w:t xml:space="preserve"> of 15 June 2018, the Council of Ministers decided to authorise the Ministry of Finance to study and </w:t>
      </w:r>
      <w:r w:rsidR="00E838EA" w:rsidRPr="00DE15BD">
        <w:rPr>
          <w:b/>
          <w:bCs/>
          <w:sz w:val="22"/>
          <w:szCs w:val="22"/>
        </w:rPr>
        <w:t>assess the application of the Cyprus Investment Programme and its effects on the economy</w:t>
      </w:r>
      <w:r w:rsidR="00E838EA" w:rsidRPr="00DE15BD">
        <w:rPr>
          <w:bCs/>
          <w:sz w:val="22"/>
          <w:szCs w:val="22"/>
        </w:rPr>
        <w:t xml:space="preserve"> and provide information to the Council of Ministers.</w:t>
      </w:r>
      <w:r w:rsidR="00CA39EE" w:rsidRPr="00DE15BD">
        <w:rPr>
          <w:bCs/>
          <w:sz w:val="22"/>
          <w:szCs w:val="22"/>
        </w:rPr>
        <w:t xml:space="preserve"> </w:t>
      </w:r>
      <w:r w:rsidR="001C362B" w:rsidRPr="00DE15BD">
        <w:rPr>
          <w:bCs/>
          <w:sz w:val="22"/>
          <w:szCs w:val="22"/>
        </w:rPr>
        <w:t xml:space="preserve">At present, there </w:t>
      </w:r>
      <w:r w:rsidR="00FB5C8C" w:rsidRPr="00DE15BD">
        <w:rPr>
          <w:bCs/>
          <w:sz w:val="22"/>
          <w:szCs w:val="22"/>
        </w:rPr>
        <w:t xml:space="preserve">is no information as to whether in practice the </w:t>
      </w:r>
      <w:r w:rsidR="00CF0202" w:rsidRPr="00DE15BD">
        <w:rPr>
          <w:bCs/>
          <w:sz w:val="22"/>
          <w:szCs w:val="22"/>
        </w:rPr>
        <w:t xml:space="preserve">citizenship </w:t>
      </w:r>
      <w:r w:rsidR="001C362B" w:rsidRPr="00DE15BD">
        <w:rPr>
          <w:bCs/>
          <w:sz w:val="22"/>
          <w:szCs w:val="22"/>
        </w:rPr>
        <w:t xml:space="preserve">scheme </w:t>
      </w:r>
      <w:r w:rsidR="00F417D6" w:rsidRPr="00DE15BD">
        <w:rPr>
          <w:bCs/>
          <w:sz w:val="22"/>
          <w:szCs w:val="22"/>
        </w:rPr>
        <w:t>has</w:t>
      </w:r>
      <w:r w:rsidR="00FB5C8C" w:rsidRPr="00DE15BD">
        <w:rPr>
          <w:bCs/>
          <w:sz w:val="22"/>
          <w:szCs w:val="22"/>
        </w:rPr>
        <w:t xml:space="preserve"> m</w:t>
      </w:r>
      <w:r w:rsidR="00CF0202" w:rsidRPr="00DE15BD">
        <w:rPr>
          <w:bCs/>
          <w:sz w:val="22"/>
          <w:szCs w:val="22"/>
        </w:rPr>
        <w:t>et its expectations.</w:t>
      </w:r>
      <w:r w:rsidR="00637EF5" w:rsidRPr="00DE15BD">
        <w:rPr>
          <w:bCs/>
          <w:sz w:val="22"/>
          <w:szCs w:val="22"/>
        </w:rPr>
        <w:t xml:space="preserve"> It is estimated that an investor </w:t>
      </w:r>
      <w:r w:rsidR="00554F27" w:rsidRPr="00DE15BD">
        <w:rPr>
          <w:bCs/>
          <w:sz w:val="22"/>
          <w:szCs w:val="22"/>
        </w:rPr>
        <w:t xml:space="preserve">(not including family members) </w:t>
      </w:r>
      <w:r w:rsidR="00637EF5" w:rsidRPr="00DE15BD">
        <w:rPr>
          <w:bCs/>
          <w:sz w:val="22"/>
          <w:szCs w:val="22"/>
        </w:rPr>
        <w:t>applying for citizenship by exception could bring at least EUR 2,537,000 in the year of the application once the EUR 2 million investment, EUR 30,000 annual income, EUR 500,000 investment in real estate, EUR 2,000 application fee and EUR 5,000 for the Naturalisation Certificate insurance, are added.</w:t>
      </w:r>
    </w:p>
    <w:p w14:paraId="58617F77" w14:textId="77777777" w:rsidR="001C362B" w:rsidRPr="00DE15BD" w:rsidRDefault="001C362B" w:rsidP="004841DD">
      <w:pPr>
        <w:spacing w:after="0" w:line="240" w:lineRule="auto"/>
        <w:jc w:val="both"/>
        <w:rPr>
          <w:bCs/>
          <w:sz w:val="22"/>
          <w:szCs w:val="22"/>
        </w:rPr>
      </w:pPr>
    </w:p>
    <w:p w14:paraId="0FAD778D" w14:textId="62ED0992" w:rsidR="00FB5C8C" w:rsidRPr="00DE15BD" w:rsidRDefault="001B2883" w:rsidP="004841DD">
      <w:pPr>
        <w:spacing w:after="0" w:line="240" w:lineRule="auto"/>
        <w:jc w:val="both"/>
        <w:rPr>
          <w:bCs/>
          <w:sz w:val="22"/>
          <w:szCs w:val="22"/>
        </w:rPr>
      </w:pPr>
      <w:r w:rsidRPr="00DE15BD">
        <w:rPr>
          <w:bCs/>
          <w:sz w:val="22"/>
          <w:szCs w:val="22"/>
        </w:rPr>
        <w:t xml:space="preserve">There is no legal obligation to </w:t>
      </w:r>
      <w:r w:rsidR="00344692" w:rsidRPr="00DE15BD">
        <w:rPr>
          <w:bCs/>
          <w:sz w:val="22"/>
          <w:szCs w:val="22"/>
        </w:rPr>
        <w:t xml:space="preserve">monitor the </w:t>
      </w:r>
      <w:r w:rsidR="00344692" w:rsidRPr="00DE15BD">
        <w:rPr>
          <w:b/>
          <w:bCs/>
          <w:sz w:val="22"/>
          <w:szCs w:val="22"/>
        </w:rPr>
        <w:t>economic impact of investors who have been gra</w:t>
      </w:r>
      <w:r w:rsidRPr="00DE15BD">
        <w:rPr>
          <w:b/>
          <w:bCs/>
          <w:sz w:val="22"/>
          <w:szCs w:val="22"/>
        </w:rPr>
        <w:t>nted residence</w:t>
      </w:r>
      <w:r w:rsidRPr="00DE15BD">
        <w:rPr>
          <w:bCs/>
          <w:sz w:val="22"/>
          <w:szCs w:val="22"/>
        </w:rPr>
        <w:t xml:space="preserve">. It is estimated that </w:t>
      </w:r>
      <w:r w:rsidR="00344692" w:rsidRPr="00DE15BD">
        <w:rPr>
          <w:bCs/>
          <w:sz w:val="22"/>
          <w:szCs w:val="22"/>
        </w:rPr>
        <w:t>a single investor could bring at least EUR 370</w:t>
      </w:r>
      <w:r w:rsidR="001C362B" w:rsidRPr="00DE15BD">
        <w:rPr>
          <w:bCs/>
          <w:sz w:val="22"/>
          <w:szCs w:val="22"/>
        </w:rPr>
        <w:t>,</w:t>
      </w:r>
      <w:r w:rsidR="00344692" w:rsidRPr="00DE15BD">
        <w:rPr>
          <w:bCs/>
          <w:sz w:val="22"/>
          <w:szCs w:val="22"/>
        </w:rPr>
        <w:t xml:space="preserve">000 for one year, only through his/her investment in Cyprus and his/her application for an immigration permit. </w:t>
      </w:r>
    </w:p>
    <w:p w14:paraId="6EB01F19" w14:textId="77777777" w:rsidR="00FC0CA6" w:rsidRPr="00DE15BD" w:rsidRDefault="00FC0CA6" w:rsidP="004841DD">
      <w:pPr>
        <w:spacing w:after="0" w:line="240" w:lineRule="auto"/>
        <w:jc w:val="both"/>
        <w:rPr>
          <w:b/>
          <w:i/>
          <w:sz w:val="22"/>
          <w:szCs w:val="22"/>
        </w:rPr>
      </w:pPr>
    </w:p>
    <w:p w14:paraId="0D24798B" w14:textId="4005804A" w:rsidR="001C362B" w:rsidRPr="00DE15BD" w:rsidRDefault="003E4C5A" w:rsidP="00B76DE6">
      <w:r w:rsidRPr="00DE15BD">
        <w:rPr>
          <w:b/>
          <w:bCs/>
          <w:i/>
          <w:sz w:val="22"/>
          <w:szCs w:val="22"/>
        </w:rPr>
        <w:t>Link between the residence and citizenship investor schemes</w:t>
      </w:r>
    </w:p>
    <w:p w14:paraId="5DCAF9EE" w14:textId="30F2A98C" w:rsidR="00344692" w:rsidRPr="00DE15BD" w:rsidRDefault="00344692" w:rsidP="004841DD">
      <w:pPr>
        <w:pStyle w:val="MMultilevel"/>
        <w:numPr>
          <w:ilvl w:val="0"/>
          <w:numId w:val="0"/>
        </w:numPr>
        <w:rPr>
          <w:lang w:val="en-GB"/>
        </w:rPr>
      </w:pPr>
      <w:r w:rsidRPr="00DE15BD">
        <w:rPr>
          <w:lang w:val="en-GB"/>
        </w:rPr>
        <w:t xml:space="preserve">The main interaction between the two schemes (residence and citizenship by exception for investors) is that </w:t>
      </w:r>
      <w:r w:rsidRPr="00DE15BD">
        <w:rPr>
          <w:b/>
          <w:lang w:val="en-GB"/>
        </w:rPr>
        <w:t xml:space="preserve">in order for citizenship by exception for investors to be granted, </w:t>
      </w:r>
      <w:r w:rsidR="001C362B" w:rsidRPr="00DE15BD">
        <w:rPr>
          <w:b/>
          <w:lang w:val="en-GB"/>
        </w:rPr>
        <w:t xml:space="preserve">investors </w:t>
      </w:r>
      <w:r w:rsidRPr="00DE15BD">
        <w:rPr>
          <w:b/>
          <w:lang w:val="en-GB"/>
        </w:rPr>
        <w:t xml:space="preserve">must have a </w:t>
      </w:r>
      <w:r w:rsidR="00554F27" w:rsidRPr="00DE15BD">
        <w:rPr>
          <w:b/>
          <w:lang w:val="en-GB"/>
        </w:rPr>
        <w:t xml:space="preserve">residence </w:t>
      </w:r>
      <w:r w:rsidRPr="00DE15BD">
        <w:rPr>
          <w:b/>
          <w:lang w:val="en-GB"/>
        </w:rPr>
        <w:t>permit</w:t>
      </w:r>
      <w:r w:rsidRPr="00DE15BD">
        <w:rPr>
          <w:lang w:val="en-GB"/>
        </w:rPr>
        <w:t xml:space="preserve"> </w:t>
      </w:r>
      <w:r w:rsidR="00554F27" w:rsidRPr="00DE15BD">
        <w:rPr>
          <w:lang w:val="en-GB"/>
        </w:rPr>
        <w:t xml:space="preserve">for a period of at least </w:t>
      </w:r>
      <w:r w:rsidR="00C71AF5">
        <w:rPr>
          <w:lang w:val="en-GB"/>
        </w:rPr>
        <w:t>six</w:t>
      </w:r>
      <w:r w:rsidR="00554F27" w:rsidRPr="00DE15BD">
        <w:rPr>
          <w:lang w:val="en-GB"/>
        </w:rPr>
        <w:t xml:space="preserve"> months, </w:t>
      </w:r>
      <w:r w:rsidRPr="00DE15BD">
        <w:rPr>
          <w:lang w:val="en-GB"/>
        </w:rPr>
        <w:t>which allows them to reside in Cyprus</w:t>
      </w:r>
      <w:r w:rsidR="004841DD" w:rsidRPr="00DE15BD">
        <w:rPr>
          <w:lang w:val="en-GB"/>
        </w:rPr>
        <w:t xml:space="preserve"> as a prerequisite to apply</w:t>
      </w:r>
      <w:r w:rsidR="00554F27" w:rsidRPr="00DE15BD">
        <w:rPr>
          <w:lang w:val="en-GB"/>
        </w:rPr>
        <w:t xml:space="preserve"> and be granted</w:t>
      </w:r>
      <w:r w:rsidR="004841DD" w:rsidRPr="00DE15BD">
        <w:rPr>
          <w:lang w:val="en-GB"/>
        </w:rPr>
        <w:t xml:space="preserve"> citizenship</w:t>
      </w:r>
      <w:r w:rsidRPr="00DE15BD">
        <w:rPr>
          <w:lang w:val="en-GB"/>
        </w:rPr>
        <w:t>.</w:t>
      </w:r>
      <w:r w:rsidR="004841DD" w:rsidRPr="00DE15BD">
        <w:rPr>
          <w:lang w:val="en-GB"/>
        </w:rPr>
        <w:t xml:space="preserve"> The applications for both residence and citizenship </w:t>
      </w:r>
      <w:r w:rsidR="00637EF5" w:rsidRPr="00DE15BD">
        <w:rPr>
          <w:lang w:val="en-GB"/>
        </w:rPr>
        <w:t xml:space="preserve">can </w:t>
      </w:r>
      <w:r w:rsidR="004841DD" w:rsidRPr="00DE15BD">
        <w:rPr>
          <w:lang w:val="en-GB"/>
        </w:rPr>
        <w:lastRenderedPageBreak/>
        <w:t>be submitted at the same time</w:t>
      </w:r>
      <w:r w:rsidR="00554F27" w:rsidRPr="00DE15BD">
        <w:rPr>
          <w:lang w:val="en-GB"/>
        </w:rPr>
        <w:t xml:space="preserve"> and the investment for the residence permit could count towards the citizenship scheme</w:t>
      </w:r>
      <w:r w:rsidR="004841DD" w:rsidRPr="00DE15BD">
        <w:rPr>
          <w:lang w:val="en-GB"/>
        </w:rPr>
        <w:t>.</w:t>
      </w:r>
      <w:r w:rsidRPr="00DE15BD">
        <w:rPr>
          <w:lang w:val="en-GB"/>
        </w:rPr>
        <w:t xml:space="preserve"> </w:t>
      </w:r>
    </w:p>
    <w:p w14:paraId="6953DF7D" w14:textId="77777777" w:rsidR="00551F88" w:rsidRPr="00DE15BD" w:rsidRDefault="00551F88" w:rsidP="004841DD">
      <w:pPr>
        <w:pStyle w:val="MMultilevel"/>
        <w:numPr>
          <w:ilvl w:val="0"/>
          <w:numId w:val="0"/>
        </w:numPr>
        <w:rPr>
          <w:lang w:val="en-GB"/>
        </w:rPr>
      </w:pPr>
    </w:p>
    <w:p w14:paraId="76AF4CF4" w14:textId="591E0F30" w:rsidR="00551F88" w:rsidRPr="00DE15BD" w:rsidRDefault="00551F88" w:rsidP="00156DC4">
      <w:pPr>
        <w:pStyle w:val="MMultilevel"/>
        <w:numPr>
          <w:ilvl w:val="0"/>
          <w:numId w:val="0"/>
        </w:numPr>
        <w:rPr>
          <w:lang w:val="en-GB"/>
        </w:rPr>
      </w:pPr>
      <w:r w:rsidRPr="00DE15BD">
        <w:rPr>
          <w:lang w:val="en-GB"/>
        </w:rPr>
        <w:t>The Cyprus Investment Programme provides investors who already possess a residence permit in Cyprus and investors who decide to invest in Cyprus</w:t>
      </w:r>
      <w:r w:rsidR="00DB6549" w:rsidRPr="00DE15BD">
        <w:rPr>
          <w:lang w:val="en-GB"/>
        </w:rPr>
        <w:t>,</w:t>
      </w:r>
      <w:r w:rsidRPr="00DE15BD">
        <w:rPr>
          <w:lang w:val="en-GB"/>
        </w:rPr>
        <w:t xml:space="preserve"> a fast track way to obtain the Cypriot citizenship in contrast to the regular way to obtain the citizenship, which</w:t>
      </w:r>
      <w:r w:rsidR="00DB6549" w:rsidRPr="00DE15BD">
        <w:rPr>
          <w:lang w:val="en-GB"/>
        </w:rPr>
        <w:t xml:space="preserve"> requires residence of</w:t>
      </w:r>
      <w:r w:rsidRPr="00DE15BD">
        <w:rPr>
          <w:lang w:val="en-GB"/>
        </w:rPr>
        <w:t xml:space="preserve"> at least 7 years </w:t>
      </w:r>
      <w:r w:rsidR="00DB6549" w:rsidRPr="00DE15BD">
        <w:rPr>
          <w:lang w:val="en-GB"/>
        </w:rPr>
        <w:t>in Cyprus, plus 12 months of continuous presence in Cyprus.</w:t>
      </w:r>
      <w:r w:rsidRPr="00DE15BD">
        <w:rPr>
          <w:lang w:val="en-GB"/>
        </w:rPr>
        <w:t xml:space="preserve"> </w:t>
      </w:r>
    </w:p>
    <w:p w14:paraId="6525C1F4" w14:textId="089B69D3" w:rsidR="00551F88" w:rsidRPr="00DE15BD" w:rsidRDefault="00551F88" w:rsidP="004841DD">
      <w:pPr>
        <w:pStyle w:val="MMultilevel"/>
        <w:numPr>
          <w:ilvl w:val="0"/>
          <w:numId w:val="0"/>
        </w:numPr>
        <w:rPr>
          <w:lang w:val="en-GB"/>
        </w:rPr>
      </w:pPr>
    </w:p>
    <w:p w14:paraId="12E21CBF" w14:textId="77777777" w:rsidR="00FB5C8C" w:rsidRPr="00DE15BD" w:rsidRDefault="00FB5C8C" w:rsidP="004841DD">
      <w:pPr>
        <w:spacing w:after="0" w:line="240" w:lineRule="auto"/>
        <w:jc w:val="both"/>
        <w:rPr>
          <w:sz w:val="22"/>
          <w:szCs w:val="22"/>
        </w:rPr>
      </w:pPr>
    </w:p>
    <w:p w14:paraId="410F5BC7" w14:textId="0F76294C" w:rsidR="00FB5C8C" w:rsidRPr="00DE15BD" w:rsidRDefault="001C362B" w:rsidP="004841DD">
      <w:pPr>
        <w:spacing w:after="0" w:line="240" w:lineRule="auto"/>
        <w:jc w:val="both"/>
        <w:rPr>
          <w:b/>
          <w:i/>
          <w:sz w:val="22"/>
          <w:szCs w:val="22"/>
        </w:rPr>
      </w:pPr>
      <w:r w:rsidRPr="00DE15BD">
        <w:rPr>
          <w:b/>
          <w:i/>
          <w:sz w:val="22"/>
          <w:szCs w:val="22"/>
        </w:rPr>
        <w:t>Numbers involved</w:t>
      </w:r>
    </w:p>
    <w:p w14:paraId="27FD177F" w14:textId="77777777" w:rsidR="001C362B" w:rsidRPr="00DE15BD" w:rsidRDefault="001C362B" w:rsidP="004841DD">
      <w:pPr>
        <w:spacing w:after="0" w:line="240" w:lineRule="auto"/>
        <w:jc w:val="both"/>
        <w:rPr>
          <w:b/>
          <w:i/>
          <w:sz w:val="22"/>
          <w:szCs w:val="22"/>
        </w:rPr>
      </w:pPr>
    </w:p>
    <w:p w14:paraId="621A6949" w14:textId="6655335C" w:rsidR="00982A35" w:rsidRPr="00DE15BD" w:rsidRDefault="00393819" w:rsidP="004841DD">
      <w:pPr>
        <w:spacing w:after="0" w:line="240" w:lineRule="auto"/>
        <w:jc w:val="both"/>
        <w:rPr>
          <w:bCs/>
          <w:sz w:val="22"/>
          <w:szCs w:val="22"/>
        </w:rPr>
      </w:pPr>
      <w:r w:rsidRPr="00DE15BD">
        <w:rPr>
          <w:bCs/>
          <w:sz w:val="22"/>
          <w:szCs w:val="22"/>
        </w:rPr>
        <w:t>T</w:t>
      </w:r>
      <w:r w:rsidR="00FB5C8C" w:rsidRPr="00DE15BD">
        <w:rPr>
          <w:bCs/>
          <w:sz w:val="22"/>
          <w:szCs w:val="22"/>
        </w:rPr>
        <w:t xml:space="preserve">here are </w:t>
      </w:r>
      <w:r w:rsidR="00FB5C8C" w:rsidRPr="00DE15BD">
        <w:rPr>
          <w:b/>
          <w:bCs/>
          <w:sz w:val="22"/>
          <w:szCs w:val="22"/>
        </w:rPr>
        <w:t>no publicly available statistics</w:t>
      </w:r>
      <w:r w:rsidRPr="00DE15BD">
        <w:rPr>
          <w:b/>
          <w:bCs/>
          <w:sz w:val="22"/>
          <w:szCs w:val="22"/>
        </w:rPr>
        <w:t xml:space="preserve"> concerning applications for citizenship</w:t>
      </w:r>
      <w:r w:rsidR="001C362B" w:rsidRPr="00DE15BD">
        <w:rPr>
          <w:bCs/>
          <w:sz w:val="22"/>
          <w:szCs w:val="22"/>
        </w:rPr>
        <w:t xml:space="preserve"> by investors</w:t>
      </w:r>
      <w:r w:rsidRPr="00DE15BD">
        <w:rPr>
          <w:bCs/>
          <w:sz w:val="22"/>
          <w:szCs w:val="22"/>
        </w:rPr>
        <w:t xml:space="preserve">. </w:t>
      </w:r>
      <w:r w:rsidR="004841DD" w:rsidRPr="00DE15BD">
        <w:rPr>
          <w:bCs/>
          <w:sz w:val="22"/>
          <w:szCs w:val="22"/>
        </w:rPr>
        <w:t>According to a recent newspaper article</w:t>
      </w:r>
      <w:r w:rsidR="004A40ED" w:rsidRPr="00DE15BD">
        <w:rPr>
          <w:bCs/>
          <w:sz w:val="22"/>
          <w:szCs w:val="22"/>
          <w:vertAlign w:val="superscript"/>
        </w:rPr>
        <w:footnoteReference w:id="12"/>
      </w:r>
      <w:r w:rsidR="004A40ED" w:rsidRPr="00DE15BD">
        <w:rPr>
          <w:bCs/>
          <w:sz w:val="22"/>
          <w:szCs w:val="22"/>
          <w:vertAlign w:val="subscript"/>
        </w:rPr>
        <w:t xml:space="preserve"> </w:t>
      </w:r>
      <w:r w:rsidR="004841DD" w:rsidRPr="00DE15BD">
        <w:rPr>
          <w:bCs/>
          <w:sz w:val="22"/>
          <w:szCs w:val="22"/>
        </w:rPr>
        <w:t xml:space="preserve">on a discussion </w:t>
      </w:r>
      <w:r w:rsidR="00637EF5" w:rsidRPr="00DE15BD">
        <w:rPr>
          <w:bCs/>
          <w:sz w:val="22"/>
          <w:szCs w:val="22"/>
        </w:rPr>
        <w:t xml:space="preserve">in </w:t>
      </w:r>
      <w:r w:rsidR="004841DD" w:rsidRPr="00DE15BD">
        <w:rPr>
          <w:bCs/>
          <w:sz w:val="22"/>
          <w:szCs w:val="22"/>
        </w:rPr>
        <w:t>the House of Parliament, f</w:t>
      </w:r>
      <w:r w:rsidR="00FB5C8C" w:rsidRPr="00DE15BD">
        <w:rPr>
          <w:bCs/>
          <w:sz w:val="22"/>
          <w:szCs w:val="22"/>
        </w:rPr>
        <w:t xml:space="preserve">rom 2008 to </w:t>
      </w:r>
      <w:r w:rsidR="00637EF5" w:rsidRPr="00DE15BD">
        <w:rPr>
          <w:bCs/>
          <w:sz w:val="22"/>
          <w:szCs w:val="22"/>
        </w:rPr>
        <w:t>date</w:t>
      </w:r>
      <w:r w:rsidR="00FB5C8C" w:rsidRPr="00DE15BD">
        <w:rPr>
          <w:bCs/>
          <w:sz w:val="22"/>
          <w:szCs w:val="22"/>
        </w:rPr>
        <w:t>, 3,336</w:t>
      </w:r>
      <w:r w:rsidR="001C362B" w:rsidRPr="00DE15BD">
        <w:rPr>
          <w:bCs/>
          <w:sz w:val="22"/>
          <w:szCs w:val="22"/>
        </w:rPr>
        <w:t xml:space="preserve"> naturalisations were granted through the investment scheme</w:t>
      </w:r>
      <w:r w:rsidR="00FB5C8C" w:rsidRPr="00DE15BD">
        <w:rPr>
          <w:bCs/>
          <w:sz w:val="22"/>
          <w:szCs w:val="22"/>
        </w:rPr>
        <w:t xml:space="preserve">. Of these, 1685 </w:t>
      </w:r>
      <w:r w:rsidR="001C362B" w:rsidRPr="00DE15BD">
        <w:rPr>
          <w:bCs/>
          <w:sz w:val="22"/>
          <w:szCs w:val="22"/>
        </w:rPr>
        <w:t>r</w:t>
      </w:r>
      <w:r w:rsidR="00FB5C8C" w:rsidRPr="00DE15BD">
        <w:rPr>
          <w:bCs/>
          <w:sz w:val="22"/>
          <w:szCs w:val="22"/>
        </w:rPr>
        <w:t xml:space="preserve">elated to the investors themselves, and 1651 to </w:t>
      </w:r>
      <w:r w:rsidR="001C362B" w:rsidRPr="00DE15BD">
        <w:rPr>
          <w:bCs/>
          <w:sz w:val="22"/>
          <w:szCs w:val="22"/>
        </w:rPr>
        <w:t xml:space="preserve">family </w:t>
      </w:r>
      <w:r w:rsidR="00FB5C8C" w:rsidRPr="00DE15BD">
        <w:rPr>
          <w:bCs/>
          <w:sz w:val="22"/>
          <w:szCs w:val="22"/>
        </w:rPr>
        <w:t>members</w:t>
      </w:r>
      <w:r w:rsidR="001C362B" w:rsidRPr="00DE15BD">
        <w:rPr>
          <w:bCs/>
          <w:sz w:val="22"/>
          <w:szCs w:val="22"/>
        </w:rPr>
        <w:t xml:space="preserve"> </w:t>
      </w:r>
      <w:r w:rsidR="00FB5C8C" w:rsidRPr="00DE15BD">
        <w:rPr>
          <w:bCs/>
          <w:sz w:val="22"/>
          <w:szCs w:val="22"/>
        </w:rPr>
        <w:t>– spouses, children and parents. Meanwhile</w:t>
      </w:r>
      <w:r w:rsidR="001C362B" w:rsidRPr="00DE15BD">
        <w:rPr>
          <w:bCs/>
          <w:sz w:val="22"/>
          <w:szCs w:val="22"/>
        </w:rPr>
        <w:t>,</w:t>
      </w:r>
      <w:r w:rsidR="00FB5C8C" w:rsidRPr="00DE15BD">
        <w:rPr>
          <w:bCs/>
          <w:sz w:val="22"/>
          <w:szCs w:val="22"/>
        </w:rPr>
        <w:t xml:space="preserve"> since 2001 the number of Cypriot passports granted to foreign nationals via the ‘normal’ process (marriage, etc.) amounted to 5,848. </w:t>
      </w:r>
    </w:p>
    <w:p w14:paraId="0540B451" w14:textId="77777777" w:rsidR="00FB5C8C" w:rsidRPr="00DE15BD" w:rsidRDefault="00FB5C8C" w:rsidP="004841DD">
      <w:pPr>
        <w:spacing w:after="0" w:line="240" w:lineRule="auto"/>
        <w:jc w:val="both"/>
        <w:rPr>
          <w:sz w:val="22"/>
          <w:szCs w:val="22"/>
        </w:rPr>
      </w:pPr>
    </w:p>
    <w:p w14:paraId="7B00B5EA" w14:textId="7BAFAF62" w:rsidR="0061378E" w:rsidRPr="00DE15BD" w:rsidRDefault="0061378E" w:rsidP="004841DD">
      <w:pPr>
        <w:pStyle w:val="MMultilevel"/>
        <w:numPr>
          <w:ilvl w:val="0"/>
          <w:numId w:val="0"/>
        </w:numPr>
        <w:rPr>
          <w:lang w:val="en-GB"/>
        </w:rPr>
      </w:pPr>
      <w:r w:rsidRPr="00DE15BD">
        <w:rPr>
          <w:lang w:val="en-GB"/>
        </w:rPr>
        <w:t xml:space="preserve">The </w:t>
      </w:r>
      <w:r w:rsidRPr="00DE15BD">
        <w:rPr>
          <w:b/>
          <w:lang w:val="en-GB"/>
        </w:rPr>
        <w:t>publicly available statistics on immigration permits</w:t>
      </w:r>
      <w:r w:rsidRPr="00DE15BD">
        <w:rPr>
          <w:lang w:val="en-GB"/>
        </w:rPr>
        <w:t xml:space="preserve"> applications relate to all types of permits and </w:t>
      </w:r>
      <w:r w:rsidR="00FC0CA6" w:rsidRPr="00DE15BD">
        <w:rPr>
          <w:lang w:val="en-GB"/>
        </w:rPr>
        <w:t xml:space="preserve">are </w:t>
      </w:r>
      <w:r w:rsidRPr="00DE15BD">
        <w:rPr>
          <w:lang w:val="en-GB"/>
        </w:rPr>
        <w:t xml:space="preserve">only available for 2015 and 2016 </w:t>
      </w:r>
      <w:r w:rsidR="00FC0CA6" w:rsidRPr="00DE15BD">
        <w:rPr>
          <w:lang w:val="en-GB"/>
        </w:rPr>
        <w:t>(</w:t>
      </w:r>
      <w:r w:rsidRPr="00DE15BD">
        <w:rPr>
          <w:lang w:val="en-GB"/>
        </w:rPr>
        <w:t>only from January to July 2016</w:t>
      </w:r>
      <w:r w:rsidR="00FC0CA6" w:rsidRPr="00DE15BD">
        <w:rPr>
          <w:lang w:val="en-GB"/>
        </w:rPr>
        <w:t>)</w:t>
      </w:r>
      <w:r w:rsidRPr="00DE15BD">
        <w:rPr>
          <w:lang w:val="en-GB"/>
        </w:rPr>
        <w:t xml:space="preserve">. The Ministry of Interior official consulted, mentioned that permission was needed from the Minister of Interior to provide the above statistics for the project and </w:t>
      </w:r>
      <w:r w:rsidR="009C1D7A" w:rsidRPr="00DE15BD">
        <w:rPr>
          <w:lang w:val="en-GB"/>
        </w:rPr>
        <w:t>this was</w:t>
      </w:r>
      <w:r w:rsidRPr="00DE15BD">
        <w:rPr>
          <w:lang w:val="en-GB"/>
        </w:rPr>
        <w:t xml:space="preserve"> not obtained.</w:t>
      </w:r>
    </w:p>
    <w:p w14:paraId="0E2A798B" w14:textId="4E78B04C" w:rsidR="00FC0CA6" w:rsidRPr="00DE15BD" w:rsidRDefault="00FC0CA6" w:rsidP="004841DD">
      <w:pPr>
        <w:spacing w:after="0" w:line="240" w:lineRule="auto"/>
        <w:jc w:val="both"/>
        <w:rPr>
          <w:bCs/>
          <w:sz w:val="22"/>
          <w:szCs w:val="22"/>
        </w:rPr>
      </w:pPr>
    </w:p>
    <w:p w14:paraId="26564EF4" w14:textId="6944F847" w:rsidR="0013688E" w:rsidRPr="00DE15BD" w:rsidRDefault="00FC0CA6" w:rsidP="004841DD">
      <w:pPr>
        <w:spacing w:after="0" w:line="240" w:lineRule="auto"/>
        <w:jc w:val="both"/>
        <w:rPr>
          <w:bCs/>
          <w:sz w:val="22"/>
          <w:szCs w:val="22"/>
        </w:rPr>
      </w:pPr>
      <w:r w:rsidRPr="00DE15BD">
        <w:rPr>
          <w:bCs/>
          <w:sz w:val="22"/>
          <w:szCs w:val="22"/>
        </w:rPr>
        <w:t>No yearly statistics are available and therefore no conclusions may be drawn concerning the success ratio of investors’ citizenship or residence applications and the reasons for which applications have been turned down</w:t>
      </w:r>
      <w:r w:rsidR="00931B53" w:rsidRPr="00DE15BD">
        <w:rPr>
          <w:bCs/>
          <w:sz w:val="22"/>
          <w:szCs w:val="22"/>
        </w:rPr>
        <w:t xml:space="preserve"> in practice.</w:t>
      </w:r>
      <w:r w:rsidRPr="00DE15BD">
        <w:rPr>
          <w:bCs/>
          <w:sz w:val="22"/>
          <w:szCs w:val="22"/>
        </w:rPr>
        <w:t xml:space="preserve"> Similarly, t</w:t>
      </w:r>
      <w:r w:rsidR="0013688E" w:rsidRPr="00DE15BD">
        <w:rPr>
          <w:bCs/>
          <w:sz w:val="22"/>
          <w:szCs w:val="22"/>
        </w:rPr>
        <w:t xml:space="preserve">here is no indication on whether applicants under the citizenship and residence schemes typically differ on the basis of their country of origin. </w:t>
      </w:r>
    </w:p>
    <w:p w14:paraId="5D163CD7" w14:textId="77777777" w:rsidR="0013688E" w:rsidRPr="00DE15BD" w:rsidRDefault="0013688E" w:rsidP="004841DD">
      <w:pPr>
        <w:spacing w:after="0" w:line="240" w:lineRule="auto"/>
        <w:jc w:val="both"/>
        <w:rPr>
          <w:sz w:val="22"/>
          <w:szCs w:val="22"/>
        </w:rPr>
      </w:pPr>
    </w:p>
    <w:p w14:paraId="07F8B0BA" w14:textId="272BA239" w:rsidR="002177B9" w:rsidRPr="00DE15BD" w:rsidRDefault="002177B9" w:rsidP="00D6581A">
      <w:pPr>
        <w:spacing w:after="0" w:line="240" w:lineRule="auto"/>
        <w:ind w:left="425"/>
        <w:jc w:val="both"/>
        <w:rPr>
          <w:bCs/>
          <w:sz w:val="22"/>
          <w:szCs w:val="22"/>
        </w:rPr>
      </w:pPr>
    </w:p>
    <w:sectPr w:rsidR="002177B9" w:rsidRPr="00DE15BD" w:rsidSect="00992E5B">
      <w:footerReference w:type="default" r:id="rId7"/>
      <w:pgSz w:w="11906" w:h="16838"/>
      <w:pgMar w:top="1440" w:right="1440" w:bottom="1440" w:left="1440" w:header="708" w:footer="708" w:gutter="0"/>
      <w:pgNumType w:fmt="lowerRoman"/>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C1D365" w16cid:durableId="1EE72109"/>
  <w16cid:commentId w16cid:paraId="02AA2B2C" w16cid:durableId="1EE7211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8542AB" w14:textId="77777777" w:rsidR="00421CF0" w:rsidRDefault="00421CF0" w:rsidP="008F18C7">
      <w:pPr>
        <w:spacing w:after="0" w:line="240" w:lineRule="auto"/>
      </w:pPr>
      <w:r>
        <w:separator/>
      </w:r>
    </w:p>
  </w:endnote>
  <w:endnote w:type="continuationSeparator" w:id="0">
    <w:p w14:paraId="1E37FBAD" w14:textId="77777777" w:rsidR="00421CF0" w:rsidRDefault="00421CF0" w:rsidP="008F1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Yu Gothic Light">
    <w:altName w:val="游ゴシック Light"/>
    <w:charset w:val="80"/>
    <w:family w:val="swiss"/>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84" w:type="pct"/>
      <w:tblBorders>
        <w:top w:val="single" w:sz="4" w:space="0" w:color="auto"/>
      </w:tblBorders>
      <w:tblLook w:val="01E0" w:firstRow="1" w:lastRow="1" w:firstColumn="1" w:lastColumn="1" w:noHBand="0" w:noVBand="0"/>
    </w:tblPr>
    <w:tblGrid>
      <w:gridCol w:w="2320"/>
      <w:gridCol w:w="6858"/>
    </w:tblGrid>
    <w:tr w:rsidR="00992E5B" w:rsidRPr="007D178C" w14:paraId="65CF196E" w14:textId="77777777" w:rsidTr="004369C6">
      <w:tc>
        <w:tcPr>
          <w:tcW w:w="1264" w:type="pct"/>
        </w:tcPr>
        <w:p w14:paraId="08C52D5B" w14:textId="77777777" w:rsidR="00992E5B" w:rsidRPr="007D178C" w:rsidRDefault="00992E5B" w:rsidP="00992E5B">
          <w:pPr>
            <w:tabs>
              <w:tab w:val="left" w:pos="1212"/>
            </w:tabs>
            <w:ind w:right="360"/>
            <w:rPr>
              <w:i/>
            </w:rPr>
          </w:pPr>
          <w:r w:rsidRPr="007D178C">
            <w:rPr>
              <w:i/>
            </w:rPr>
            <w:t xml:space="preserve">Milieu Ltd </w:t>
          </w:r>
        </w:p>
        <w:p w14:paraId="0F69A127" w14:textId="77777777" w:rsidR="00992E5B" w:rsidRPr="007D178C" w:rsidRDefault="00992E5B" w:rsidP="00992E5B">
          <w:pPr>
            <w:tabs>
              <w:tab w:val="center" w:pos="4153"/>
              <w:tab w:val="right" w:pos="8306"/>
            </w:tabs>
            <w:ind w:right="360"/>
            <w:rPr>
              <w:i/>
            </w:rPr>
          </w:pPr>
        </w:p>
      </w:tc>
      <w:tc>
        <w:tcPr>
          <w:tcW w:w="3736" w:type="pct"/>
        </w:tcPr>
        <w:p w14:paraId="62580545" w14:textId="4F08BCDF" w:rsidR="00992E5B" w:rsidRPr="007D178C" w:rsidRDefault="00992E5B" w:rsidP="00992E5B">
          <w:pPr>
            <w:tabs>
              <w:tab w:val="center" w:pos="4153"/>
              <w:tab w:val="right" w:pos="8306"/>
            </w:tabs>
            <w:ind w:right="19"/>
            <w:jc w:val="right"/>
            <w:rPr>
              <w:i/>
            </w:rPr>
          </w:pPr>
          <w:r>
            <w:rPr>
              <w:i/>
            </w:rPr>
            <w:t>Executive Summary</w:t>
          </w:r>
          <w:r w:rsidRPr="007D178C">
            <w:rPr>
              <w:i/>
            </w:rPr>
            <w:t xml:space="preserve"> – Investors’ Schemes in </w:t>
          </w:r>
          <w:r>
            <w:rPr>
              <w:i/>
            </w:rPr>
            <w:t>Cyprus</w:t>
          </w:r>
          <w:r w:rsidRPr="007D178C">
            <w:rPr>
              <w:i/>
            </w:rPr>
            <w:t>/</w:t>
          </w:r>
          <w:r w:rsidRPr="00992E5B">
            <w:rPr>
              <w:i/>
            </w:rPr>
            <w:fldChar w:fldCharType="begin"/>
          </w:r>
          <w:r w:rsidRPr="00992E5B">
            <w:rPr>
              <w:i/>
            </w:rPr>
            <w:instrText xml:space="preserve"> PAGE   \* MERGEFORMAT </w:instrText>
          </w:r>
          <w:r w:rsidRPr="00992E5B">
            <w:rPr>
              <w:i/>
            </w:rPr>
            <w:fldChar w:fldCharType="separate"/>
          </w:r>
          <w:r>
            <w:rPr>
              <w:i/>
              <w:noProof/>
            </w:rPr>
            <w:t>v</w:t>
          </w:r>
          <w:r w:rsidRPr="00992E5B">
            <w:rPr>
              <w:i/>
              <w:noProof/>
            </w:rPr>
            <w:fldChar w:fldCharType="end"/>
          </w:r>
        </w:p>
      </w:tc>
    </w:tr>
  </w:tbl>
  <w:p w14:paraId="63633426" w14:textId="77777777" w:rsidR="00992E5B" w:rsidRDefault="00992E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427AA8" w14:textId="77777777" w:rsidR="00421CF0" w:rsidRDefault="00421CF0" w:rsidP="008F18C7">
      <w:pPr>
        <w:spacing w:after="0" w:line="240" w:lineRule="auto"/>
      </w:pPr>
      <w:r>
        <w:separator/>
      </w:r>
    </w:p>
  </w:footnote>
  <w:footnote w:type="continuationSeparator" w:id="0">
    <w:p w14:paraId="5ED7EA22" w14:textId="77777777" w:rsidR="00421CF0" w:rsidRDefault="00421CF0" w:rsidP="008F18C7">
      <w:pPr>
        <w:spacing w:after="0" w:line="240" w:lineRule="auto"/>
      </w:pPr>
      <w:r>
        <w:continuationSeparator/>
      </w:r>
    </w:p>
  </w:footnote>
  <w:footnote w:id="1">
    <w:p w14:paraId="46795321" w14:textId="70E2C3E0" w:rsidR="00421CF0" w:rsidRPr="002A0A48" w:rsidRDefault="00421CF0" w:rsidP="00C71AF5">
      <w:pPr>
        <w:pStyle w:val="FootnoteText"/>
        <w:jc w:val="both"/>
        <w:rPr>
          <w:bCs/>
          <w:sz w:val="16"/>
          <w:szCs w:val="16"/>
        </w:rPr>
      </w:pPr>
      <w:r w:rsidRPr="002A0A48">
        <w:rPr>
          <w:rStyle w:val="FootnoteReference"/>
          <w:sz w:val="16"/>
          <w:szCs w:val="16"/>
        </w:rPr>
        <w:footnoteRef/>
      </w:r>
      <w:r w:rsidRPr="002A0A48">
        <w:rPr>
          <w:sz w:val="16"/>
          <w:szCs w:val="16"/>
        </w:rPr>
        <w:t xml:space="preserve"> </w:t>
      </w:r>
      <w:r w:rsidRPr="002A0A48">
        <w:rPr>
          <w:bCs/>
          <w:sz w:val="16"/>
          <w:szCs w:val="16"/>
        </w:rPr>
        <w:t>Law No. 141(I)/2002: The Civil Registry Law 2002 (</w:t>
      </w:r>
      <w:r w:rsidRPr="002A0A48">
        <w:rPr>
          <w:bCs/>
          <w:i/>
          <w:sz w:val="16"/>
          <w:szCs w:val="16"/>
        </w:rPr>
        <w:t>Αρχείου Πληθυσμού Νόμος του 2002</w:t>
      </w:r>
      <w:r w:rsidRPr="002A0A48">
        <w:rPr>
          <w:bCs/>
          <w:sz w:val="16"/>
          <w:szCs w:val="16"/>
        </w:rPr>
        <w:t>), 141(I)/2002, O.G, Par 1(I), No.</w:t>
      </w:r>
      <w:r w:rsidRPr="002A0A48">
        <w:rPr>
          <w:bCs/>
          <w:iCs/>
          <w:sz w:val="16"/>
          <w:szCs w:val="16"/>
        </w:rPr>
        <w:t>3626, 26/7/2002</w:t>
      </w:r>
      <w:r w:rsidR="002A0A48">
        <w:rPr>
          <w:bCs/>
          <w:sz w:val="16"/>
          <w:szCs w:val="16"/>
        </w:rPr>
        <w:t>, as amended, available at</w:t>
      </w:r>
      <w:r w:rsidRPr="002A0A48">
        <w:rPr>
          <w:bCs/>
          <w:sz w:val="16"/>
          <w:szCs w:val="16"/>
        </w:rPr>
        <w:t xml:space="preserve"> </w:t>
      </w:r>
      <w:hyperlink r:id="rId1" w:history="1">
        <w:r w:rsidRPr="002A0A48">
          <w:rPr>
            <w:rStyle w:val="Hyperlink"/>
            <w:sz w:val="16"/>
            <w:szCs w:val="16"/>
          </w:rPr>
          <w:t>http://www.cylaw.org/nomoi/indexes/2002_1_141.html</w:t>
        </w:r>
      </w:hyperlink>
      <w:r w:rsidR="002A0A48">
        <w:rPr>
          <w:bCs/>
          <w:sz w:val="16"/>
          <w:szCs w:val="16"/>
        </w:rPr>
        <w:t>.</w:t>
      </w:r>
    </w:p>
  </w:footnote>
  <w:footnote w:id="2">
    <w:p w14:paraId="4181EB15" w14:textId="77777777" w:rsidR="00992E5B" w:rsidRDefault="00421CF0" w:rsidP="00C71AF5">
      <w:pPr>
        <w:pStyle w:val="FootnoteText"/>
        <w:jc w:val="both"/>
        <w:rPr>
          <w:bCs/>
          <w:sz w:val="16"/>
          <w:szCs w:val="16"/>
        </w:rPr>
      </w:pPr>
      <w:r w:rsidRPr="002A0A48">
        <w:rPr>
          <w:rStyle w:val="FootnoteReference"/>
          <w:sz w:val="16"/>
          <w:szCs w:val="16"/>
        </w:rPr>
        <w:footnoteRef/>
      </w:r>
      <w:bookmarkStart w:id="0" w:name="_Hlk514946592"/>
      <w:r w:rsidRPr="002A0A48">
        <w:rPr>
          <w:sz w:val="16"/>
          <w:szCs w:val="16"/>
        </w:rPr>
        <w:t>Council of Ministers’ Decision 81.292 dated 13.9.2016, (</w:t>
      </w:r>
      <w:r w:rsidRPr="002A0A48">
        <w:rPr>
          <w:i/>
          <w:sz w:val="16"/>
          <w:szCs w:val="16"/>
        </w:rPr>
        <w:t xml:space="preserve">Απόφαση Υπουργικού Συμβουλίου αρ. 81.292 ημερομηνίας 13.9.2016, </w:t>
      </w:r>
      <w:r w:rsidRPr="002A0A48">
        <w:rPr>
          <w:bCs/>
          <w:i/>
          <w:sz w:val="16"/>
          <w:szCs w:val="16"/>
        </w:rPr>
        <w:t>Παραχώρηση της κυπριακής υπηκοότητας με κατ ́εξαίρεση πολιτογράφηση σε μη Κύπριους επενδυτές/επιχειρηματίες στη βάση του εδαφίου (2) του άρθρου 111Α του περί Αρχείου Πληθυσμού Νόμου 141(Ι)/2002 και παραχώρηση της κυπριακής υπηκοότητας με κατ ́ εξαίρεση πολιτογράφηση στα μέλη οικογένειας επιχειρηματία/επενδυτή/τριας πολιτογραφηθέντος βάσει Απόφασης του Υπουργικού Συμβουλίου</w:t>
      </w:r>
      <w:r w:rsidRPr="002A0A48">
        <w:rPr>
          <w:bCs/>
          <w:sz w:val="16"/>
          <w:szCs w:val="16"/>
        </w:rPr>
        <w:t>)</w:t>
      </w:r>
      <w:r w:rsidRPr="002A0A48">
        <w:rPr>
          <w:sz w:val="16"/>
          <w:szCs w:val="16"/>
        </w:rPr>
        <w:t xml:space="preserve">, </w:t>
      </w:r>
      <w:r w:rsidRPr="002A0A48">
        <w:rPr>
          <w:bCs/>
          <w:sz w:val="16"/>
          <w:szCs w:val="16"/>
        </w:rPr>
        <w:t>O.G, Par 4(I), No.</w:t>
      </w:r>
      <w:r w:rsidRPr="002A0A48">
        <w:rPr>
          <w:bCs/>
          <w:iCs/>
          <w:sz w:val="16"/>
          <w:szCs w:val="16"/>
        </w:rPr>
        <w:t>4504, 16.9.2016</w:t>
      </w:r>
      <w:r w:rsidR="002A0A48">
        <w:rPr>
          <w:bCs/>
          <w:sz w:val="16"/>
          <w:szCs w:val="16"/>
        </w:rPr>
        <w:t>. available at</w:t>
      </w:r>
      <w:bookmarkStart w:id="1" w:name="_GoBack"/>
      <w:bookmarkEnd w:id="1"/>
    </w:p>
    <w:p w14:paraId="5B05A040" w14:textId="0F1FDDCC" w:rsidR="00421CF0" w:rsidRPr="002A0A48" w:rsidRDefault="00845870" w:rsidP="00C71AF5">
      <w:pPr>
        <w:pStyle w:val="FootnoteText"/>
        <w:jc w:val="both"/>
        <w:rPr>
          <w:bCs/>
          <w:sz w:val="16"/>
          <w:szCs w:val="16"/>
        </w:rPr>
      </w:pPr>
      <w:hyperlink r:id="rId2" w:history="1">
        <w:r w:rsidR="00421CF0" w:rsidRPr="002A0A48">
          <w:rPr>
            <w:rStyle w:val="Hyperlink"/>
            <w:sz w:val="16"/>
            <w:szCs w:val="16"/>
          </w:rPr>
          <w:t>http://www.mof.gov.cy/mof/gpo/gpo.nsf/All/626C3F5813AB3EF9C22580300033CD78/$file/4504%2016%209%202016%20PARARTIMA%204o%20MEROS%20I.pdf</w:t>
        </w:r>
      </w:hyperlink>
      <w:r w:rsidR="00421CF0" w:rsidRPr="002A0A48">
        <w:rPr>
          <w:sz w:val="16"/>
          <w:szCs w:val="16"/>
        </w:rPr>
        <w:t xml:space="preserve"> </w:t>
      </w:r>
    </w:p>
    <w:bookmarkEnd w:id="0"/>
  </w:footnote>
  <w:footnote w:id="3">
    <w:p w14:paraId="45A1CFDD" w14:textId="4586324A" w:rsidR="00421CF0" w:rsidRPr="002A0A48" w:rsidRDefault="00421CF0" w:rsidP="00C71AF5">
      <w:pPr>
        <w:pStyle w:val="FootnoteText"/>
        <w:jc w:val="both"/>
        <w:rPr>
          <w:bCs/>
          <w:sz w:val="16"/>
          <w:szCs w:val="16"/>
        </w:rPr>
      </w:pPr>
      <w:r w:rsidRPr="002A0A48">
        <w:rPr>
          <w:rStyle w:val="FootnoteReference"/>
          <w:sz w:val="16"/>
          <w:szCs w:val="16"/>
        </w:rPr>
        <w:footnoteRef/>
      </w:r>
      <w:r w:rsidRPr="002A0A48">
        <w:rPr>
          <w:sz w:val="16"/>
          <w:szCs w:val="16"/>
        </w:rPr>
        <w:t xml:space="preserve"> Council of Ministers’ Decision 84.068 dated 9.1.2018, (</w:t>
      </w:r>
      <w:r w:rsidRPr="002A0A48">
        <w:rPr>
          <w:i/>
          <w:sz w:val="16"/>
          <w:szCs w:val="16"/>
        </w:rPr>
        <w:t xml:space="preserve">Απόφαση Υπουργικού Συμβουλίου αρ. 84.068 ημερομηνίας 9.1.2018, </w:t>
      </w:r>
      <w:r w:rsidRPr="002A0A48">
        <w:rPr>
          <w:bCs/>
          <w:i/>
          <w:sz w:val="16"/>
          <w:szCs w:val="16"/>
        </w:rPr>
        <w:t>Παραχώρηση της κυπριακής υπηκοότητας με κατ’ εξαίρεση Πολιτογράφηση σε μη Κύπριους επενδυτές/επιχειρηματίες στη βάση του εδαφίου (2) του άρθρου 111Α του περί Αρχείου Πληθυσμού Νόμου 141(Ι)/2002. Σύσταση Επιτροπής Εποπτείας και Ελέγχου, εισαγωγή κώδικα συμπεριφοράς και άλλων πρακτικών μέτρων διαχείρισης της προώθησης και εφαρμογής του Σχεδίου</w:t>
      </w:r>
      <w:r w:rsidRPr="002A0A48">
        <w:rPr>
          <w:bCs/>
          <w:sz w:val="16"/>
          <w:szCs w:val="16"/>
        </w:rPr>
        <w:t>.)</w:t>
      </w:r>
      <w:r w:rsidRPr="002A0A48">
        <w:rPr>
          <w:sz w:val="16"/>
          <w:szCs w:val="16"/>
        </w:rPr>
        <w:t xml:space="preserve">, </w:t>
      </w:r>
      <w:r w:rsidRPr="002A0A48">
        <w:rPr>
          <w:bCs/>
          <w:sz w:val="16"/>
          <w:szCs w:val="16"/>
        </w:rPr>
        <w:t>O.G, Par 4(I), No.</w:t>
      </w:r>
      <w:r w:rsidRPr="002A0A48">
        <w:rPr>
          <w:bCs/>
          <w:iCs/>
          <w:sz w:val="16"/>
          <w:szCs w:val="16"/>
        </w:rPr>
        <w:t>4568, 2.3.2018</w:t>
      </w:r>
      <w:r w:rsidR="002A0A48">
        <w:rPr>
          <w:bCs/>
          <w:iCs/>
          <w:sz w:val="16"/>
          <w:szCs w:val="16"/>
        </w:rPr>
        <w:t>, available at</w:t>
      </w:r>
      <w:r w:rsidRPr="002A0A48">
        <w:rPr>
          <w:sz w:val="16"/>
          <w:szCs w:val="16"/>
        </w:rPr>
        <w:t xml:space="preserve"> </w:t>
      </w:r>
      <w:hyperlink r:id="rId3" w:history="1">
        <w:r w:rsidRPr="002A0A48">
          <w:rPr>
            <w:rStyle w:val="Hyperlink"/>
            <w:sz w:val="16"/>
            <w:szCs w:val="16"/>
          </w:rPr>
          <w:t>http://www.mof.gov.cy/mof/gpo/gpo.nsf/All/20CF8C6CABEC7FF4C225824400389AD4/$file/4568%202%203%202018%20PARARTHMA%204o%20MEROS%20I.pdf</w:t>
        </w:r>
      </w:hyperlink>
      <w:r w:rsidR="002A0A48">
        <w:rPr>
          <w:sz w:val="16"/>
          <w:szCs w:val="16"/>
        </w:rPr>
        <w:t>.</w:t>
      </w:r>
    </w:p>
  </w:footnote>
  <w:footnote w:id="4">
    <w:p w14:paraId="6E269641" w14:textId="50B34348" w:rsidR="00421CF0" w:rsidRPr="002A0A48" w:rsidRDefault="00421CF0" w:rsidP="00C71AF5">
      <w:pPr>
        <w:pStyle w:val="FootnoteText"/>
        <w:jc w:val="both"/>
        <w:rPr>
          <w:sz w:val="16"/>
          <w:szCs w:val="16"/>
        </w:rPr>
      </w:pPr>
      <w:r w:rsidRPr="002A0A48">
        <w:rPr>
          <w:rStyle w:val="FootnoteReference"/>
          <w:sz w:val="16"/>
          <w:szCs w:val="16"/>
        </w:rPr>
        <w:footnoteRef/>
      </w:r>
      <w:r w:rsidRPr="002A0A48">
        <w:rPr>
          <w:sz w:val="16"/>
          <w:szCs w:val="16"/>
        </w:rPr>
        <w:t xml:space="preserve"> Council of Ministers’ Decision 906/2018, dated 21.5.2018; Granting of Cypriot Citizenship to </w:t>
      </w:r>
      <w:r w:rsidR="002A0A48" w:rsidRPr="002A0A48">
        <w:rPr>
          <w:sz w:val="16"/>
          <w:szCs w:val="16"/>
        </w:rPr>
        <w:t>non-Cypriot</w:t>
      </w:r>
      <w:r w:rsidRPr="002A0A48">
        <w:rPr>
          <w:sz w:val="16"/>
          <w:szCs w:val="16"/>
        </w:rPr>
        <w:t xml:space="preserve"> investors/businessmen under the naturalization by exception Scheme on the basis of subsection (2) of section 111A of the Civil Registry Laws of 2002-2015.</w:t>
      </w:r>
    </w:p>
  </w:footnote>
  <w:footnote w:id="5">
    <w:p w14:paraId="25F18D96" w14:textId="3F9725D8" w:rsidR="00421CF0" w:rsidRPr="002A0A48" w:rsidRDefault="00421CF0" w:rsidP="00C71AF5">
      <w:pPr>
        <w:pStyle w:val="FootnoteText"/>
        <w:jc w:val="both"/>
        <w:rPr>
          <w:bCs/>
          <w:sz w:val="16"/>
          <w:szCs w:val="16"/>
        </w:rPr>
      </w:pPr>
      <w:r w:rsidRPr="002A0A48">
        <w:rPr>
          <w:rStyle w:val="FootnoteReference"/>
          <w:sz w:val="16"/>
          <w:szCs w:val="16"/>
        </w:rPr>
        <w:footnoteRef/>
      </w:r>
      <w:r w:rsidRPr="002A0A48">
        <w:rPr>
          <w:sz w:val="16"/>
          <w:szCs w:val="16"/>
        </w:rPr>
        <w:t xml:space="preserve"> Aliens and Immigration Regulations of 1972 to 2013 </w:t>
      </w:r>
      <w:r w:rsidRPr="002A0A48">
        <w:rPr>
          <w:bCs/>
          <w:sz w:val="16"/>
          <w:szCs w:val="16"/>
        </w:rPr>
        <w:t>(</w:t>
      </w:r>
      <w:r w:rsidRPr="002A0A48">
        <w:rPr>
          <w:bCs/>
          <w:i/>
          <w:sz w:val="16"/>
          <w:szCs w:val="16"/>
        </w:rPr>
        <w:t>Οι περί Αλλοδαπών και Μεταναστεύσεως Κανονισμοί του 1972 μέχρι 2013</w:t>
      </w:r>
      <w:r w:rsidRPr="002A0A48">
        <w:rPr>
          <w:bCs/>
          <w:sz w:val="16"/>
          <w:szCs w:val="16"/>
        </w:rPr>
        <w:t xml:space="preserve">), O.G, Par III(I), </w:t>
      </w:r>
      <w:r w:rsidRPr="002A0A48">
        <w:rPr>
          <w:bCs/>
          <w:iCs/>
          <w:sz w:val="16"/>
          <w:szCs w:val="16"/>
        </w:rPr>
        <w:t>22/12/1972</w:t>
      </w:r>
      <w:r w:rsidRPr="002A0A48">
        <w:rPr>
          <w:bCs/>
          <w:sz w:val="16"/>
          <w:szCs w:val="16"/>
        </w:rPr>
        <w:t xml:space="preserve">, as amended: </w:t>
      </w:r>
      <w:hyperlink r:id="rId4" w:history="1">
        <w:r w:rsidRPr="002A0A48">
          <w:rPr>
            <w:rStyle w:val="Hyperlink"/>
            <w:sz w:val="16"/>
            <w:szCs w:val="16"/>
          </w:rPr>
          <w:t>http://www.moi.gov.cy/moi/CRMD/crmd.nsf/page10_2_gr/page10_2_gr?OpenDocument</w:t>
        </w:r>
      </w:hyperlink>
      <w:r w:rsidR="002A0A48">
        <w:rPr>
          <w:sz w:val="16"/>
          <w:szCs w:val="16"/>
        </w:rPr>
        <w:t>.</w:t>
      </w:r>
    </w:p>
  </w:footnote>
  <w:footnote w:id="6">
    <w:p w14:paraId="0318FF17" w14:textId="65CAADD4" w:rsidR="00421CF0" w:rsidRPr="002A0A48" w:rsidRDefault="00421CF0" w:rsidP="00C71AF5">
      <w:pPr>
        <w:pStyle w:val="FootnoteText"/>
        <w:jc w:val="both"/>
        <w:rPr>
          <w:sz w:val="16"/>
          <w:szCs w:val="16"/>
        </w:rPr>
      </w:pPr>
      <w:r w:rsidRPr="002A0A48">
        <w:rPr>
          <w:rStyle w:val="FootnoteReference"/>
          <w:sz w:val="16"/>
          <w:szCs w:val="16"/>
        </w:rPr>
        <w:footnoteRef/>
      </w:r>
      <w:r w:rsidRPr="002A0A48">
        <w:rPr>
          <w:sz w:val="16"/>
          <w:szCs w:val="16"/>
        </w:rPr>
        <w:t xml:space="preserve"> Ministry of Interior Policy, “</w:t>
      </w:r>
      <w:r w:rsidRPr="002A0A48">
        <w:rPr>
          <w:bCs/>
          <w:sz w:val="16"/>
          <w:szCs w:val="16"/>
        </w:rPr>
        <w:t>Criteria for granting an Immigration Permit within the scope of the expedited procedure </w:t>
      </w:r>
      <w:r w:rsidRPr="002A0A48">
        <w:rPr>
          <w:bCs/>
          <w:sz w:val="16"/>
          <w:szCs w:val="16"/>
        </w:rPr>
        <w:br/>
        <w:t xml:space="preserve">to applicants who are third country nationals and invest in Cyprus - 2nd Revision, 22.2.2016 - 21/03/2016 10:54:44”: </w:t>
      </w:r>
      <w:hyperlink r:id="rId5" w:history="1">
        <w:r w:rsidRPr="002A0A48">
          <w:rPr>
            <w:rStyle w:val="Hyperlink"/>
            <w:bCs/>
            <w:sz w:val="16"/>
            <w:szCs w:val="16"/>
          </w:rPr>
          <w:t>http://www.moi.gov.cy/moi/CRMD/crmd.nsf/All/6E845849175A310DC2257F7D0030F4FE?OpenDocument</w:t>
        </w:r>
      </w:hyperlink>
      <w:r w:rsidR="002A0A48">
        <w:rPr>
          <w:bCs/>
          <w:sz w:val="16"/>
          <w:szCs w:val="16"/>
        </w:rPr>
        <w:t>.</w:t>
      </w:r>
    </w:p>
  </w:footnote>
  <w:footnote w:id="7">
    <w:p w14:paraId="7428D3B2" w14:textId="414DABCE" w:rsidR="00421CF0" w:rsidRPr="002A0A48" w:rsidRDefault="00421CF0" w:rsidP="00C71AF5">
      <w:pPr>
        <w:pStyle w:val="FootnoteText"/>
        <w:jc w:val="both"/>
        <w:rPr>
          <w:sz w:val="16"/>
          <w:szCs w:val="16"/>
        </w:rPr>
      </w:pPr>
      <w:r w:rsidRPr="002A0A48">
        <w:rPr>
          <w:rStyle w:val="FootnoteReference"/>
          <w:sz w:val="16"/>
          <w:szCs w:val="16"/>
        </w:rPr>
        <w:footnoteRef/>
      </w:r>
      <w:r w:rsidRPr="002A0A48">
        <w:rPr>
          <w:sz w:val="16"/>
          <w:szCs w:val="16"/>
        </w:rPr>
        <w:t xml:space="preserve"> Ministry of Finance Announcement on “The Supervisory and Control Committee for the Cyprus Investment Programme”, dated 15.6.2018 ava</w:t>
      </w:r>
      <w:r w:rsidR="002A0A48">
        <w:rPr>
          <w:sz w:val="16"/>
          <w:szCs w:val="16"/>
        </w:rPr>
        <w:t xml:space="preserve">ilable only in Greek at </w:t>
      </w:r>
      <w:hyperlink r:id="rId6" w:history="1">
        <w:r w:rsidR="002A0A48" w:rsidRPr="00AE64C4">
          <w:rPr>
            <w:rStyle w:val="Hyperlink"/>
            <w:sz w:val="16"/>
            <w:szCs w:val="16"/>
          </w:rPr>
          <w:t>http://mof.gov.cy/en/press-office/announcements/417/?ctype=ar</w:t>
        </w:r>
      </w:hyperlink>
      <w:r w:rsidR="002A0A48">
        <w:rPr>
          <w:sz w:val="16"/>
          <w:szCs w:val="16"/>
        </w:rPr>
        <w:t xml:space="preserve">. </w:t>
      </w:r>
    </w:p>
  </w:footnote>
  <w:footnote w:id="8">
    <w:p w14:paraId="699BC40B" w14:textId="682452FE" w:rsidR="00421CF0" w:rsidRPr="002A0A48" w:rsidRDefault="00421CF0" w:rsidP="00C71AF5">
      <w:pPr>
        <w:pStyle w:val="FootnoteText"/>
        <w:jc w:val="both"/>
        <w:rPr>
          <w:b/>
          <w:bCs/>
          <w:sz w:val="16"/>
          <w:szCs w:val="16"/>
        </w:rPr>
      </w:pPr>
      <w:r w:rsidRPr="002A0A48">
        <w:rPr>
          <w:rStyle w:val="FootnoteReference"/>
          <w:sz w:val="16"/>
          <w:szCs w:val="16"/>
        </w:rPr>
        <w:footnoteRef/>
      </w:r>
      <w:r w:rsidRPr="002A0A48">
        <w:rPr>
          <w:sz w:val="16"/>
          <w:szCs w:val="16"/>
        </w:rPr>
        <w:t xml:space="preserve"> The General Principles of Administrative Law of 1999, L. 158(I)/1999, as amended by Law. 99(I)/2014 (</w:t>
      </w:r>
      <w:r w:rsidRPr="002A0A48">
        <w:rPr>
          <w:bCs/>
          <w:i/>
          <w:sz w:val="16"/>
          <w:szCs w:val="16"/>
        </w:rPr>
        <w:t>Ο περί των Γενικών Αρχών του Διοικητικού Δικαίου Νόμος του 1999</w:t>
      </w:r>
      <w:r w:rsidRPr="002A0A48">
        <w:rPr>
          <w:bCs/>
          <w:sz w:val="16"/>
          <w:szCs w:val="16"/>
        </w:rPr>
        <w:t xml:space="preserve">), OG Par. 1(I), No 3378, 31.12.1999: </w:t>
      </w:r>
      <w:hyperlink r:id="rId7" w:history="1">
        <w:r w:rsidRPr="002A0A48">
          <w:rPr>
            <w:rStyle w:val="Hyperlink"/>
            <w:sz w:val="16"/>
            <w:szCs w:val="16"/>
          </w:rPr>
          <w:t>http://www.cylaw.org/nomoi/enop/non-ind/1999_1_158/full.html</w:t>
        </w:r>
      </w:hyperlink>
      <w:r w:rsidRPr="002A0A48">
        <w:rPr>
          <w:bCs/>
          <w:sz w:val="16"/>
          <w:szCs w:val="16"/>
        </w:rPr>
        <w:t>.</w:t>
      </w:r>
      <w:r w:rsidRPr="002A0A48">
        <w:rPr>
          <w:b/>
          <w:bCs/>
          <w:sz w:val="16"/>
          <w:szCs w:val="16"/>
        </w:rPr>
        <w:t xml:space="preserve"> </w:t>
      </w:r>
    </w:p>
  </w:footnote>
  <w:footnote w:id="9">
    <w:p w14:paraId="763E207F" w14:textId="14E38A7A" w:rsidR="00421CF0" w:rsidRPr="002A0A48" w:rsidRDefault="00421CF0" w:rsidP="00C71AF5">
      <w:pPr>
        <w:pStyle w:val="FootnoteText"/>
        <w:jc w:val="both"/>
        <w:rPr>
          <w:bCs/>
          <w:sz w:val="16"/>
          <w:szCs w:val="16"/>
        </w:rPr>
      </w:pPr>
      <w:r w:rsidRPr="002A0A48">
        <w:rPr>
          <w:rStyle w:val="FootnoteReference"/>
          <w:sz w:val="16"/>
          <w:szCs w:val="16"/>
        </w:rPr>
        <w:footnoteRef/>
      </w:r>
      <w:r w:rsidRPr="002A0A48">
        <w:rPr>
          <w:sz w:val="16"/>
          <w:szCs w:val="16"/>
        </w:rPr>
        <w:t xml:space="preserve"> Law providing for the Prevention and Combatting of Legalisation of Profits from Illegal Activities of 2007 to 2018 (</w:t>
      </w:r>
      <w:r w:rsidRPr="002A0A48">
        <w:rPr>
          <w:bCs/>
          <w:i/>
          <w:sz w:val="16"/>
          <w:szCs w:val="16"/>
        </w:rPr>
        <w:t>Ο περί της Παρεμπόδισης και Καταπολέμησης της Νομιμοποίησης Εσόδων από Παράνομες Δραστηριότητες Νόμος του 2007-2018</w:t>
      </w:r>
      <w:r w:rsidR="00C71AF5" w:rsidRPr="002A0A48">
        <w:rPr>
          <w:bCs/>
          <w:sz w:val="16"/>
          <w:szCs w:val="16"/>
        </w:rPr>
        <w:t>)</w:t>
      </w:r>
      <w:r w:rsidRPr="002A0A48">
        <w:rPr>
          <w:bCs/>
          <w:sz w:val="16"/>
          <w:szCs w:val="16"/>
        </w:rPr>
        <w:t>, O.G, Par I(I), No.</w:t>
      </w:r>
      <w:r w:rsidRPr="002A0A48">
        <w:rPr>
          <w:i/>
          <w:iCs/>
          <w:color w:val="000000"/>
          <w:sz w:val="16"/>
          <w:szCs w:val="16"/>
        </w:rPr>
        <w:t xml:space="preserve"> </w:t>
      </w:r>
      <w:r w:rsidRPr="002A0A48">
        <w:rPr>
          <w:bCs/>
          <w:iCs/>
          <w:sz w:val="16"/>
          <w:szCs w:val="16"/>
        </w:rPr>
        <w:t xml:space="preserve">4154, 31/12/2007: </w:t>
      </w:r>
      <w:hyperlink r:id="rId8" w:history="1">
        <w:r w:rsidRPr="002A0A48">
          <w:rPr>
            <w:rStyle w:val="Hyperlink"/>
            <w:bCs/>
            <w:iCs/>
            <w:sz w:val="16"/>
            <w:szCs w:val="16"/>
          </w:rPr>
          <w:t>http://www.cylaw.org/nomoi/enop/non-ind/2007_1_188/full.html</w:t>
        </w:r>
      </w:hyperlink>
      <w:r w:rsidR="00C71AF5" w:rsidRPr="002A0A48">
        <w:rPr>
          <w:bCs/>
          <w:iCs/>
          <w:sz w:val="16"/>
          <w:szCs w:val="16"/>
        </w:rPr>
        <w:t>.</w:t>
      </w:r>
    </w:p>
  </w:footnote>
  <w:footnote w:id="10">
    <w:p w14:paraId="6A227BB6" w14:textId="3BBDF4DF" w:rsidR="00421CF0" w:rsidRPr="002A0A48" w:rsidRDefault="00421CF0" w:rsidP="00C71AF5">
      <w:pPr>
        <w:pStyle w:val="FootnoteText"/>
        <w:jc w:val="both"/>
        <w:rPr>
          <w:sz w:val="16"/>
          <w:szCs w:val="16"/>
        </w:rPr>
      </w:pPr>
      <w:r w:rsidRPr="002A0A48">
        <w:rPr>
          <w:rStyle w:val="FootnoteReference"/>
          <w:sz w:val="16"/>
          <w:szCs w:val="16"/>
        </w:rPr>
        <w:footnoteRef/>
      </w:r>
      <w:r w:rsidRPr="002A0A48">
        <w:rPr>
          <w:sz w:val="16"/>
          <w:szCs w:val="16"/>
        </w:rPr>
        <w:t xml:space="preserve"> Providing Evidence and Information at the House of Parliament and Parliamentary Committees Law of 1985, (</w:t>
      </w:r>
      <w:r w:rsidRPr="002A0A48">
        <w:rPr>
          <w:bCs/>
          <w:i/>
          <w:sz w:val="16"/>
          <w:szCs w:val="16"/>
        </w:rPr>
        <w:t>Ο περί της Καταθέσεως Στοιχείων και Πληροφοριών στη Βουλή των Αντιπροσώπων και στις Κοινοβουλευτικές Επιτροπές Νόμος του 1985 N.21/1985</w:t>
      </w:r>
      <w:r w:rsidRPr="002A0A48">
        <w:rPr>
          <w:bCs/>
          <w:sz w:val="16"/>
          <w:szCs w:val="16"/>
        </w:rPr>
        <w:t>), O.G, Par I(I), No.</w:t>
      </w:r>
      <w:r w:rsidRPr="002A0A48">
        <w:rPr>
          <w:i/>
          <w:iCs/>
          <w:color w:val="000000"/>
          <w:sz w:val="16"/>
          <w:szCs w:val="16"/>
        </w:rPr>
        <w:t xml:space="preserve"> </w:t>
      </w:r>
      <w:r w:rsidRPr="002A0A48">
        <w:rPr>
          <w:bCs/>
          <w:iCs/>
          <w:sz w:val="16"/>
          <w:szCs w:val="16"/>
        </w:rPr>
        <w:t xml:space="preserve">2042, 22/3/1985, available at: </w:t>
      </w:r>
      <w:hyperlink r:id="rId9" w:history="1">
        <w:r w:rsidRPr="002A0A48">
          <w:rPr>
            <w:rStyle w:val="Hyperlink"/>
            <w:bCs/>
            <w:iCs/>
            <w:sz w:val="16"/>
            <w:szCs w:val="16"/>
          </w:rPr>
          <w:t>http://www.cylaw.org/nomoi/enop/non-ind/1985_1_21/full.html</w:t>
        </w:r>
      </w:hyperlink>
      <w:r w:rsidR="00C71AF5" w:rsidRPr="002A0A48">
        <w:rPr>
          <w:bCs/>
          <w:iCs/>
          <w:sz w:val="16"/>
          <w:szCs w:val="16"/>
        </w:rPr>
        <w:t>.</w:t>
      </w:r>
    </w:p>
  </w:footnote>
  <w:footnote w:id="11">
    <w:p w14:paraId="4137971C" w14:textId="57CED625" w:rsidR="00421CF0" w:rsidRPr="002A0A48" w:rsidRDefault="00421CF0" w:rsidP="00C71AF5">
      <w:pPr>
        <w:pStyle w:val="FootnoteText"/>
        <w:jc w:val="both"/>
        <w:rPr>
          <w:sz w:val="16"/>
          <w:szCs w:val="16"/>
        </w:rPr>
      </w:pPr>
      <w:r w:rsidRPr="002A0A48">
        <w:rPr>
          <w:bCs/>
          <w:sz w:val="16"/>
          <w:szCs w:val="16"/>
          <w:vertAlign w:val="superscript"/>
        </w:rPr>
        <w:footnoteRef/>
      </w:r>
      <w:r w:rsidRPr="002A0A48">
        <w:rPr>
          <w:bCs/>
          <w:sz w:val="16"/>
          <w:szCs w:val="16"/>
          <w:vertAlign w:val="superscript"/>
        </w:rPr>
        <w:t xml:space="preserve"> </w:t>
      </w:r>
      <w:r w:rsidR="00C71AF5" w:rsidRPr="002A0A48">
        <w:rPr>
          <w:bCs/>
          <w:sz w:val="16"/>
          <w:szCs w:val="16"/>
        </w:rPr>
        <w:t>The r</w:t>
      </w:r>
      <w:r w:rsidRPr="002A0A48">
        <w:rPr>
          <w:bCs/>
          <w:sz w:val="16"/>
          <w:szCs w:val="16"/>
        </w:rPr>
        <w:t>esidence permit does not provide to investors and family free education or healthcare. In Cyprus this is not unusual as free healthcare and education is provided to working people paying taxes and contributions to the government and people who are poor and in need, including EU citizens.</w:t>
      </w:r>
    </w:p>
  </w:footnote>
  <w:footnote w:id="12">
    <w:p w14:paraId="125C064C" w14:textId="267AAD9E" w:rsidR="00421CF0" w:rsidRPr="002A0A48" w:rsidRDefault="00421CF0" w:rsidP="00C71AF5">
      <w:pPr>
        <w:pStyle w:val="FootnoteText"/>
        <w:jc w:val="both"/>
        <w:rPr>
          <w:sz w:val="16"/>
          <w:szCs w:val="16"/>
        </w:rPr>
      </w:pPr>
      <w:r w:rsidRPr="002A0A48">
        <w:rPr>
          <w:rStyle w:val="FootnoteReference"/>
          <w:sz w:val="16"/>
          <w:szCs w:val="16"/>
        </w:rPr>
        <w:footnoteRef/>
      </w:r>
      <w:r w:rsidRPr="002A0A48">
        <w:rPr>
          <w:sz w:val="16"/>
          <w:szCs w:val="16"/>
        </w:rPr>
        <w:t xml:space="preserve"> “MPs seek greater transparency on sale of passports”, Cyprus Mail online, Elias Hazou, 26.2.2018, available at: </w:t>
      </w:r>
      <w:hyperlink r:id="rId10" w:history="1">
        <w:r w:rsidRPr="002A0A48">
          <w:rPr>
            <w:rStyle w:val="Hyperlink"/>
            <w:sz w:val="16"/>
            <w:szCs w:val="16"/>
          </w:rPr>
          <w:t>http://cyprus-mail.com/2018/02/26/mps-seek-greater-transparency-sale-passports/</w:t>
        </w:r>
      </w:hyperlink>
      <w:r w:rsidR="00C71AF5" w:rsidRPr="002A0A48">
        <w:rPr>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046EA"/>
    <w:multiLevelType w:val="hybridMultilevel"/>
    <w:tmpl w:val="66809D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5C7721"/>
    <w:multiLevelType w:val="hybridMultilevel"/>
    <w:tmpl w:val="E8F48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9038EC"/>
    <w:multiLevelType w:val="hybridMultilevel"/>
    <w:tmpl w:val="8A78A25E"/>
    <w:lvl w:ilvl="0" w:tplc="08090015">
      <w:start w:val="1"/>
      <w:numFmt w:val="bullet"/>
      <w:lvlText w:val=""/>
      <w:lvlJc w:val="left"/>
      <w:pPr>
        <w:ind w:left="720" w:hanging="360"/>
      </w:pPr>
      <w:rPr>
        <w:rFonts w:ascii="Wingdings" w:hAnsi="Wingdings" w:hint="default"/>
        <w:b w:val="0"/>
        <w:i w:val="0"/>
        <w:color w:val="4F81BD"/>
        <w:sz w:val="16"/>
        <w:u w:color="0000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B41B96"/>
    <w:multiLevelType w:val="multilevel"/>
    <w:tmpl w:val="C4E2BA8C"/>
    <w:lvl w:ilvl="0">
      <w:start w:val="1"/>
      <w:numFmt w:val="decimal"/>
      <w:pStyle w:val="MH1"/>
      <w:lvlText w:val="%1"/>
      <w:lvlJc w:val="left"/>
      <w:pPr>
        <w:tabs>
          <w:tab w:val="num" w:pos="432"/>
        </w:tabs>
        <w:ind w:left="432" w:hanging="432"/>
      </w:pPr>
      <w:rPr>
        <w:rFonts w:ascii="Century Gothic" w:hAnsi="Century Gothic" w:hint="default"/>
        <w:b/>
        <w:bCs/>
        <w:i w:val="0"/>
        <w:iCs w:val="0"/>
        <w:caps/>
        <w:strike w:val="0"/>
        <w:dstrike w:val="0"/>
        <w:vanish w:val="0"/>
        <w:color w:val="auto"/>
        <w:spacing w:val="0"/>
        <w:w w:val="100"/>
        <w:kern w:val="0"/>
        <w:position w:val="0"/>
        <w:sz w:val="24"/>
        <w:szCs w:val="24"/>
        <w:u w:val="none"/>
        <w:effect w:val="none"/>
        <w:vertAlign w:val="baseline"/>
        <w:em w:val="none"/>
      </w:rPr>
    </w:lvl>
    <w:lvl w:ilvl="1">
      <w:start w:val="1"/>
      <w:numFmt w:val="decimal"/>
      <w:pStyle w:val="MH2"/>
      <w:lvlText w:val="%1.%2"/>
      <w:lvlJc w:val="left"/>
      <w:pPr>
        <w:tabs>
          <w:tab w:val="num" w:pos="576"/>
        </w:tabs>
        <w:ind w:left="576" w:hanging="576"/>
      </w:pPr>
      <w:rPr>
        <w:rFonts w:ascii="Century Gothic" w:hAnsi="Century Gothic" w:hint="default"/>
        <w:i w:val="0"/>
        <w:sz w:val="22"/>
        <w:szCs w:val="22"/>
      </w:rPr>
    </w:lvl>
    <w:lvl w:ilvl="2">
      <w:start w:val="1"/>
      <w:numFmt w:val="decimal"/>
      <w:pStyle w:val="MH3"/>
      <w:lvlText w:val="%1.%2.%3"/>
      <w:lvlJc w:val="left"/>
      <w:pPr>
        <w:tabs>
          <w:tab w:val="num" w:pos="720"/>
        </w:tabs>
        <w:ind w:left="720" w:hanging="720"/>
      </w:pPr>
      <w:rPr>
        <w:rFonts w:ascii="Century Gothic" w:hAnsi="Century Gothic" w:hint="default"/>
        <w:sz w:val="22"/>
        <w:szCs w:val="22"/>
      </w:rPr>
    </w:lvl>
    <w:lvl w:ilvl="3">
      <w:start w:val="1"/>
      <w:numFmt w:val="decimal"/>
      <w:pStyle w:val="MH4"/>
      <w:lvlText w:val="%1.%2.%3.%4"/>
      <w:lvlJc w:val="left"/>
      <w:pPr>
        <w:tabs>
          <w:tab w:val="num" w:pos="1764"/>
        </w:tabs>
        <w:ind w:left="17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2C21304E"/>
    <w:multiLevelType w:val="hybridMultilevel"/>
    <w:tmpl w:val="36D4D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F87174"/>
    <w:multiLevelType w:val="hybridMultilevel"/>
    <w:tmpl w:val="977CF7C2"/>
    <w:lvl w:ilvl="0" w:tplc="5F84D7D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3BD22741"/>
    <w:multiLevelType w:val="multilevel"/>
    <w:tmpl w:val="9C94776A"/>
    <w:lvl w:ilvl="0">
      <w:start w:val="1"/>
      <w:numFmt w:val="bullet"/>
      <w:pStyle w:val="MMultilevel"/>
      <w:lvlText w:val=""/>
      <w:lvlJc w:val="left"/>
      <w:pPr>
        <w:ind w:left="425" w:hanging="425"/>
      </w:pPr>
      <w:rPr>
        <w:rFonts w:ascii="Wingdings" w:hAnsi="Wingdings" w:hint="default"/>
        <w:caps w:val="0"/>
        <w:strike w:val="0"/>
        <w:dstrike w:val="0"/>
        <w:vanish w:val="0"/>
        <w:color w:val="4472C4" w:themeColor="accent1"/>
        <w:sz w:val="16"/>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851"/>
        </w:tabs>
        <w:ind w:left="851" w:hanging="426"/>
      </w:pPr>
      <w:rPr>
        <w:rFonts w:ascii="Wingdings" w:hAnsi="Wingdings" w:hint="default"/>
        <w:color w:val="4472C4" w:themeColor="accent1"/>
      </w:rPr>
    </w:lvl>
    <w:lvl w:ilvl="2">
      <w:start w:val="1"/>
      <w:numFmt w:val="bullet"/>
      <w:lvlText w:val=""/>
      <w:lvlJc w:val="left"/>
      <w:pPr>
        <w:tabs>
          <w:tab w:val="num" w:pos="1276"/>
        </w:tabs>
        <w:ind w:left="1276" w:hanging="425"/>
      </w:pPr>
      <w:rPr>
        <w:rFonts w:ascii="Wingdings" w:hAnsi="Wingdings" w:hint="default"/>
        <w:color w:val="7AB800"/>
      </w:rPr>
    </w:lvl>
    <w:lvl w:ilvl="3">
      <w:start w:val="1"/>
      <w:numFmt w:val="bullet"/>
      <w:lvlText w:val=""/>
      <w:lvlJc w:val="left"/>
      <w:pPr>
        <w:tabs>
          <w:tab w:val="num" w:pos="1701"/>
        </w:tabs>
        <w:ind w:left="1701" w:hanging="425"/>
      </w:pPr>
      <w:rPr>
        <w:rFonts w:ascii="Symbol" w:hAnsi="Symbol" w:hint="default"/>
        <w:caps w:val="0"/>
        <w:strike w:val="0"/>
        <w:dstrike w:val="0"/>
        <w:vanish w:val="0"/>
        <w:color w:val="7AB8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15:restartNumberingAfterBreak="0">
    <w:nsid w:val="3DFE04A2"/>
    <w:multiLevelType w:val="hybridMultilevel"/>
    <w:tmpl w:val="EAA2E3DC"/>
    <w:lvl w:ilvl="0" w:tplc="08090015">
      <w:start w:val="1"/>
      <w:numFmt w:val="bullet"/>
      <w:lvlText w:val=""/>
      <w:lvlJc w:val="left"/>
      <w:pPr>
        <w:ind w:left="720" w:hanging="360"/>
      </w:pPr>
      <w:rPr>
        <w:rFonts w:ascii="Wingdings" w:hAnsi="Wingdings" w:hint="default"/>
        <w:b w:val="0"/>
        <w:i w:val="0"/>
        <w:color w:val="4F81BD"/>
        <w:sz w:val="16"/>
        <w:u w:color="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FA094F"/>
    <w:multiLevelType w:val="hybridMultilevel"/>
    <w:tmpl w:val="36D4D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B713C4"/>
    <w:multiLevelType w:val="hybridMultilevel"/>
    <w:tmpl w:val="F2C62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C405C3"/>
    <w:multiLevelType w:val="multilevel"/>
    <w:tmpl w:val="620247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3CA1252"/>
    <w:multiLevelType w:val="multilevel"/>
    <w:tmpl w:val="D5D6F558"/>
    <w:lvl w:ilvl="0">
      <w:start w:val="1"/>
      <w:numFmt w:val="bullet"/>
      <w:lvlText w:val="-"/>
      <w:lvlJc w:val="left"/>
      <w:pPr>
        <w:ind w:left="425" w:hanging="425"/>
      </w:pPr>
      <w:rPr>
        <w:rFonts w:ascii="Times New Roman" w:eastAsia="Times New Roman" w:hAnsi="Times New Roman" w:cs="Times New Roman" w:hint="default"/>
        <w:caps w:val="0"/>
        <w:strike w:val="0"/>
        <w:dstrike w:val="0"/>
        <w:vanish w:val="0"/>
        <w:color w:val="FF0000"/>
        <w:sz w:val="16"/>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851"/>
        </w:tabs>
        <w:ind w:left="851" w:hanging="426"/>
      </w:pPr>
      <w:rPr>
        <w:rFonts w:ascii="Wingdings" w:hAnsi="Wingdings" w:hint="default"/>
        <w:color w:val="4472C4" w:themeColor="accent1"/>
      </w:rPr>
    </w:lvl>
    <w:lvl w:ilvl="2">
      <w:start w:val="1"/>
      <w:numFmt w:val="bullet"/>
      <w:lvlText w:val=""/>
      <w:lvlJc w:val="left"/>
      <w:pPr>
        <w:tabs>
          <w:tab w:val="num" w:pos="1276"/>
        </w:tabs>
        <w:ind w:left="1276" w:hanging="425"/>
      </w:pPr>
      <w:rPr>
        <w:rFonts w:ascii="Wingdings" w:hAnsi="Wingdings" w:hint="default"/>
        <w:color w:val="7AB800"/>
      </w:rPr>
    </w:lvl>
    <w:lvl w:ilvl="3">
      <w:start w:val="1"/>
      <w:numFmt w:val="bullet"/>
      <w:lvlText w:val=""/>
      <w:lvlJc w:val="left"/>
      <w:pPr>
        <w:tabs>
          <w:tab w:val="num" w:pos="1701"/>
        </w:tabs>
        <w:ind w:left="1701" w:hanging="425"/>
      </w:pPr>
      <w:rPr>
        <w:rFonts w:ascii="Symbol" w:hAnsi="Symbol" w:hint="default"/>
        <w:caps w:val="0"/>
        <w:strike w:val="0"/>
        <w:dstrike w:val="0"/>
        <w:vanish w:val="0"/>
        <w:color w:val="FF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700B2BE2"/>
    <w:multiLevelType w:val="hybridMultilevel"/>
    <w:tmpl w:val="7A020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7F0D56"/>
    <w:multiLevelType w:val="hybridMultilevel"/>
    <w:tmpl w:val="BCA8F0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620C38"/>
    <w:multiLevelType w:val="hybridMultilevel"/>
    <w:tmpl w:val="030883F0"/>
    <w:lvl w:ilvl="0" w:tplc="8FBEED3C">
      <w:start w:val="1"/>
      <w:numFmt w:val="bullet"/>
      <w:lvlText w:val=""/>
      <w:lvlJc w:val="left"/>
      <w:pPr>
        <w:ind w:left="720" w:hanging="360"/>
      </w:pPr>
      <w:rPr>
        <w:rFonts w:ascii="Wingdings" w:hAnsi="Wingdings" w:hint="default"/>
        <w:b w:val="0"/>
        <w:i w:val="0"/>
        <w:color w:val="4F81BD"/>
        <w:sz w:val="16"/>
        <w:u w:color="0000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6"/>
  </w:num>
  <w:num w:numId="3">
    <w:abstractNumId w:val="6"/>
  </w:num>
  <w:num w:numId="4">
    <w:abstractNumId w:val="11"/>
  </w:num>
  <w:num w:numId="5">
    <w:abstractNumId w:val="6"/>
  </w:num>
  <w:num w:numId="6">
    <w:abstractNumId w:val="6"/>
  </w:num>
  <w:num w:numId="7">
    <w:abstractNumId w:val="6"/>
  </w:num>
  <w:num w:numId="8">
    <w:abstractNumId w:val="14"/>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10"/>
  </w:num>
  <w:num w:numId="20">
    <w:abstractNumId w:val="13"/>
  </w:num>
  <w:num w:numId="21">
    <w:abstractNumId w:val="2"/>
  </w:num>
  <w:num w:numId="22">
    <w:abstractNumId w:val="4"/>
  </w:num>
  <w:num w:numId="23">
    <w:abstractNumId w:val="9"/>
  </w:num>
  <w:num w:numId="24">
    <w:abstractNumId w:val="0"/>
  </w:num>
  <w:num w:numId="25">
    <w:abstractNumId w:val="8"/>
  </w:num>
  <w:num w:numId="26">
    <w:abstractNumId w:val="7"/>
  </w:num>
  <w:num w:numId="27">
    <w:abstractNumId w:val="6"/>
  </w:num>
  <w:num w:numId="28">
    <w:abstractNumId w:val="3"/>
  </w:num>
  <w:num w:numId="29">
    <w:abstractNumId w:val="12"/>
  </w:num>
  <w:num w:numId="30">
    <w:abstractNumId w:val="6"/>
  </w:num>
  <w:num w:numId="31">
    <w:abstractNumId w:val="6"/>
  </w:num>
  <w:num w:numId="32">
    <w:abstractNumId w:val="5"/>
  </w:num>
  <w:num w:numId="33">
    <w:abstractNumId w:val="1"/>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3631E0"/>
    <w:rsid w:val="000038B5"/>
    <w:rsid w:val="00012B45"/>
    <w:rsid w:val="00016656"/>
    <w:rsid w:val="00017F60"/>
    <w:rsid w:val="00040BAD"/>
    <w:rsid w:val="00041C3D"/>
    <w:rsid w:val="00067F01"/>
    <w:rsid w:val="00073759"/>
    <w:rsid w:val="00083343"/>
    <w:rsid w:val="00087CAB"/>
    <w:rsid w:val="00093185"/>
    <w:rsid w:val="00096A02"/>
    <w:rsid w:val="000A23CB"/>
    <w:rsid w:val="000A578A"/>
    <w:rsid w:val="000C17A4"/>
    <w:rsid w:val="000C344A"/>
    <w:rsid w:val="000C5849"/>
    <w:rsid w:val="000D1BD8"/>
    <w:rsid w:val="000D1C88"/>
    <w:rsid w:val="000E62C0"/>
    <w:rsid w:val="000F2E37"/>
    <w:rsid w:val="00110651"/>
    <w:rsid w:val="00112E59"/>
    <w:rsid w:val="00132260"/>
    <w:rsid w:val="00135EBB"/>
    <w:rsid w:val="0013688E"/>
    <w:rsid w:val="00156DC4"/>
    <w:rsid w:val="001821A0"/>
    <w:rsid w:val="00182D84"/>
    <w:rsid w:val="00184879"/>
    <w:rsid w:val="001907D6"/>
    <w:rsid w:val="001B2883"/>
    <w:rsid w:val="001B3885"/>
    <w:rsid w:val="001B743A"/>
    <w:rsid w:val="001C362B"/>
    <w:rsid w:val="001E1B0F"/>
    <w:rsid w:val="001F3AE7"/>
    <w:rsid w:val="001F690A"/>
    <w:rsid w:val="002177B9"/>
    <w:rsid w:val="00227235"/>
    <w:rsid w:val="00233030"/>
    <w:rsid w:val="00242966"/>
    <w:rsid w:val="0024730F"/>
    <w:rsid w:val="002475F3"/>
    <w:rsid w:val="0028475F"/>
    <w:rsid w:val="002A0A48"/>
    <w:rsid w:val="002A4AFA"/>
    <w:rsid w:val="002C1205"/>
    <w:rsid w:val="00313296"/>
    <w:rsid w:val="00324844"/>
    <w:rsid w:val="0032797B"/>
    <w:rsid w:val="00344692"/>
    <w:rsid w:val="00354A00"/>
    <w:rsid w:val="00362B73"/>
    <w:rsid w:val="003631E0"/>
    <w:rsid w:val="00374AA8"/>
    <w:rsid w:val="00393819"/>
    <w:rsid w:val="003A6AFD"/>
    <w:rsid w:val="003B5BD1"/>
    <w:rsid w:val="003B688A"/>
    <w:rsid w:val="003C0650"/>
    <w:rsid w:val="003C7EE3"/>
    <w:rsid w:val="003D4C9E"/>
    <w:rsid w:val="003E4C5A"/>
    <w:rsid w:val="00403F8B"/>
    <w:rsid w:val="00421CF0"/>
    <w:rsid w:val="00425368"/>
    <w:rsid w:val="00434C3F"/>
    <w:rsid w:val="00435360"/>
    <w:rsid w:val="00455DBE"/>
    <w:rsid w:val="00475A9A"/>
    <w:rsid w:val="004841DD"/>
    <w:rsid w:val="004A40ED"/>
    <w:rsid w:val="004A7103"/>
    <w:rsid w:val="004E60B2"/>
    <w:rsid w:val="004F09C4"/>
    <w:rsid w:val="004F18F2"/>
    <w:rsid w:val="00544A72"/>
    <w:rsid w:val="00547246"/>
    <w:rsid w:val="00551F88"/>
    <w:rsid w:val="00554F27"/>
    <w:rsid w:val="00570D2D"/>
    <w:rsid w:val="005A2EE4"/>
    <w:rsid w:val="005A5A18"/>
    <w:rsid w:val="005C656C"/>
    <w:rsid w:val="005E4EA2"/>
    <w:rsid w:val="0060646A"/>
    <w:rsid w:val="0061378E"/>
    <w:rsid w:val="006259F5"/>
    <w:rsid w:val="00637EF5"/>
    <w:rsid w:val="0064391F"/>
    <w:rsid w:val="00661BA7"/>
    <w:rsid w:val="006632C0"/>
    <w:rsid w:val="00670C44"/>
    <w:rsid w:val="00672F43"/>
    <w:rsid w:val="00680814"/>
    <w:rsid w:val="00684892"/>
    <w:rsid w:val="006B2B9E"/>
    <w:rsid w:val="006C0B63"/>
    <w:rsid w:val="006C7A66"/>
    <w:rsid w:val="006D67C3"/>
    <w:rsid w:val="00712B47"/>
    <w:rsid w:val="007268D5"/>
    <w:rsid w:val="0074405A"/>
    <w:rsid w:val="0075336C"/>
    <w:rsid w:val="00754D87"/>
    <w:rsid w:val="00787183"/>
    <w:rsid w:val="007C3C9A"/>
    <w:rsid w:val="007F03B0"/>
    <w:rsid w:val="007F70A9"/>
    <w:rsid w:val="00801DD3"/>
    <w:rsid w:val="00805F3C"/>
    <w:rsid w:val="00812B76"/>
    <w:rsid w:val="008233AD"/>
    <w:rsid w:val="00825F53"/>
    <w:rsid w:val="00834FCC"/>
    <w:rsid w:val="0083617B"/>
    <w:rsid w:val="00845870"/>
    <w:rsid w:val="008553FA"/>
    <w:rsid w:val="00857EEC"/>
    <w:rsid w:val="00864C0D"/>
    <w:rsid w:val="00867B8F"/>
    <w:rsid w:val="008746F5"/>
    <w:rsid w:val="00893AB0"/>
    <w:rsid w:val="008A21F5"/>
    <w:rsid w:val="008B1EDA"/>
    <w:rsid w:val="008B4623"/>
    <w:rsid w:val="008C0724"/>
    <w:rsid w:val="008D7477"/>
    <w:rsid w:val="008F18C7"/>
    <w:rsid w:val="008F2431"/>
    <w:rsid w:val="008F757B"/>
    <w:rsid w:val="008F7BD4"/>
    <w:rsid w:val="0091251A"/>
    <w:rsid w:val="00913AD4"/>
    <w:rsid w:val="00931B53"/>
    <w:rsid w:val="00970E49"/>
    <w:rsid w:val="0097224D"/>
    <w:rsid w:val="00974353"/>
    <w:rsid w:val="00974418"/>
    <w:rsid w:val="00982A35"/>
    <w:rsid w:val="0098444D"/>
    <w:rsid w:val="00992E5B"/>
    <w:rsid w:val="009A1001"/>
    <w:rsid w:val="009A5D76"/>
    <w:rsid w:val="009A7BBB"/>
    <w:rsid w:val="009B5F6A"/>
    <w:rsid w:val="009C1D7A"/>
    <w:rsid w:val="009C7B50"/>
    <w:rsid w:val="009D5200"/>
    <w:rsid w:val="009F3F0F"/>
    <w:rsid w:val="009F7761"/>
    <w:rsid w:val="00A24DDA"/>
    <w:rsid w:val="00A60422"/>
    <w:rsid w:val="00A6378C"/>
    <w:rsid w:val="00A9562E"/>
    <w:rsid w:val="00A970BF"/>
    <w:rsid w:val="00AA18D5"/>
    <w:rsid w:val="00AA6129"/>
    <w:rsid w:val="00AB60FC"/>
    <w:rsid w:val="00AE1EF7"/>
    <w:rsid w:val="00B10F7B"/>
    <w:rsid w:val="00B11C9A"/>
    <w:rsid w:val="00B21C11"/>
    <w:rsid w:val="00B53BC0"/>
    <w:rsid w:val="00B7300C"/>
    <w:rsid w:val="00B76DE6"/>
    <w:rsid w:val="00BA03F6"/>
    <w:rsid w:val="00BA5E28"/>
    <w:rsid w:val="00BC2ABE"/>
    <w:rsid w:val="00BD0C52"/>
    <w:rsid w:val="00BE1D11"/>
    <w:rsid w:val="00BE54C5"/>
    <w:rsid w:val="00BF2A02"/>
    <w:rsid w:val="00C20061"/>
    <w:rsid w:val="00C211E6"/>
    <w:rsid w:val="00C24A41"/>
    <w:rsid w:val="00C33E27"/>
    <w:rsid w:val="00C56BBF"/>
    <w:rsid w:val="00C612FB"/>
    <w:rsid w:val="00C661C1"/>
    <w:rsid w:val="00C718A7"/>
    <w:rsid w:val="00C71AF5"/>
    <w:rsid w:val="00C74E45"/>
    <w:rsid w:val="00C82619"/>
    <w:rsid w:val="00C84AA1"/>
    <w:rsid w:val="00C940B2"/>
    <w:rsid w:val="00CA39EE"/>
    <w:rsid w:val="00CD7CE4"/>
    <w:rsid w:val="00CE11B6"/>
    <w:rsid w:val="00CE290E"/>
    <w:rsid w:val="00CE6CE3"/>
    <w:rsid w:val="00CF0202"/>
    <w:rsid w:val="00CF0C98"/>
    <w:rsid w:val="00D00CD2"/>
    <w:rsid w:val="00D137C2"/>
    <w:rsid w:val="00D1659F"/>
    <w:rsid w:val="00D17CC0"/>
    <w:rsid w:val="00D40111"/>
    <w:rsid w:val="00D44DAF"/>
    <w:rsid w:val="00D525DD"/>
    <w:rsid w:val="00D545DF"/>
    <w:rsid w:val="00D6581A"/>
    <w:rsid w:val="00D841F7"/>
    <w:rsid w:val="00D8511D"/>
    <w:rsid w:val="00D93A8B"/>
    <w:rsid w:val="00DA0360"/>
    <w:rsid w:val="00DA4C34"/>
    <w:rsid w:val="00DA7A85"/>
    <w:rsid w:val="00DB2B44"/>
    <w:rsid w:val="00DB6549"/>
    <w:rsid w:val="00DC437A"/>
    <w:rsid w:val="00DE15BD"/>
    <w:rsid w:val="00DE1D39"/>
    <w:rsid w:val="00E00612"/>
    <w:rsid w:val="00E06512"/>
    <w:rsid w:val="00E31CC0"/>
    <w:rsid w:val="00E3551A"/>
    <w:rsid w:val="00E50289"/>
    <w:rsid w:val="00E77F5C"/>
    <w:rsid w:val="00E838EA"/>
    <w:rsid w:val="00E920D5"/>
    <w:rsid w:val="00EC4F75"/>
    <w:rsid w:val="00EC6B94"/>
    <w:rsid w:val="00EC72FC"/>
    <w:rsid w:val="00F020DB"/>
    <w:rsid w:val="00F16530"/>
    <w:rsid w:val="00F26188"/>
    <w:rsid w:val="00F30040"/>
    <w:rsid w:val="00F36ABE"/>
    <w:rsid w:val="00F417D6"/>
    <w:rsid w:val="00F434CE"/>
    <w:rsid w:val="00F656AE"/>
    <w:rsid w:val="00F719B9"/>
    <w:rsid w:val="00F96A95"/>
    <w:rsid w:val="00FA011E"/>
    <w:rsid w:val="00FA4F14"/>
    <w:rsid w:val="00FA51CA"/>
    <w:rsid w:val="00FA7628"/>
    <w:rsid w:val="00FB5C8C"/>
    <w:rsid w:val="00FC0CA6"/>
    <w:rsid w:val="00FE2D18"/>
    <w:rsid w:val="00FE7DA4"/>
    <w:rsid w:val="00FF4CC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32ED221B"/>
  <w15:docId w15:val="{BEA19CC7-306B-4A3C-9885-A9F099725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18"/>
        <w:szCs w:val="18"/>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62C0"/>
    <w:pPr>
      <w:keepNext/>
      <w:keepLines/>
      <w:spacing w:before="480" w:after="0"/>
      <w:outlineLvl w:val="0"/>
    </w:pPr>
    <w:rPr>
      <w:rFonts w:asciiTheme="majorHAnsi" w:eastAsiaTheme="majorEastAsia" w:hAnsiTheme="majorHAnsi" w:cstheme="majorBidi"/>
      <w:b/>
      <w:bCs/>
      <w:color w:val="2D4F8E" w:themeColor="accent1" w:themeShade="B5"/>
      <w:sz w:val="32"/>
      <w:szCs w:val="32"/>
    </w:rPr>
  </w:style>
  <w:style w:type="paragraph" w:styleId="Heading2">
    <w:name w:val="heading 2"/>
    <w:basedOn w:val="Normal"/>
    <w:next w:val="Normal"/>
    <w:link w:val="Heading2Char"/>
    <w:uiPriority w:val="9"/>
    <w:semiHidden/>
    <w:unhideWhenUsed/>
    <w:qFormat/>
    <w:rsid w:val="000E62C0"/>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semiHidden/>
    <w:unhideWhenUsed/>
    <w:qFormat/>
    <w:rsid w:val="000E62C0"/>
    <w:pPr>
      <w:keepNext/>
      <w:keepLines/>
      <w:spacing w:before="200" w:after="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semiHidden/>
    <w:unhideWhenUsed/>
    <w:qFormat/>
    <w:rsid w:val="000E62C0"/>
    <w:pPr>
      <w:keepNext/>
      <w:keepLines/>
      <w:spacing w:before="200" w:after="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rsid w:val="000E62C0"/>
    <w:pPr>
      <w:numPr>
        <w:ilvl w:val="4"/>
        <w:numId w:val="28"/>
      </w:numPr>
      <w:spacing w:before="240" w:after="60" w:line="240" w:lineRule="auto"/>
      <w:outlineLvl w:val="4"/>
    </w:pPr>
    <w:rPr>
      <w:rFonts w:eastAsia="Times New Roman"/>
      <w:b/>
      <w:bCs/>
      <w:i/>
      <w:iCs/>
      <w:sz w:val="26"/>
      <w:szCs w:val="26"/>
      <w:lang w:val="fr-FR" w:eastAsia="fr-FR"/>
    </w:rPr>
  </w:style>
  <w:style w:type="paragraph" w:styleId="Heading6">
    <w:name w:val="heading 6"/>
    <w:basedOn w:val="Normal"/>
    <w:next w:val="Normal"/>
    <w:link w:val="Heading6Char"/>
    <w:rsid w:val="000E62C0"/>
    <w:pPr>
      <w:numPr>
        <w:ilvl w:val="5"/>
        <w:numId w:val="28"/>
      </w:numPr>
      <w:spacing w:before="240" w:after="60" w:line="240" w:lineRule="auto"/>
      <w:outlineLvl w:val="5"/>
    </w:pPr>
    <w:rPr>
      <w:rFonts w:eastAsia="Times New Roman"/>
      <w:b/>
      <w:bCs/>
      <w:sz w:val="22"/>
      <w:szCs w:val="22"/>
      <w:lang w:val="fr-FR" w:eastAsia="fr-FR"/>
    </w:rPr>
  </w:style>
  <w:style w:type="paragraph" w:styleId="Heading7">
    <w:name w:val="heading 7"/>
    <w:basedOn w:val="Normal"/>
    <w:next w:val="Normal"/>
    <w:link w:val="Heading7Char"/>
    <w:rsid w:val="000E62C0"/>
    <w:pPr>
      <w:numPr>
        <w:ilvl w:val="6"/>
        <w:numId w:val="28"/>
      </w:numPr>
      <w:spacing w:before="240" w:after="60" w:line="240" w:lineRule="auto"/>
      <w:outlineLvl w:val="6"/>
    </w:pPr>
    <w:rPr>
      <w:rFonts w:eastAsia="Times New Roman"/>
      <w:sz w:val="24"/>
      <w:szCs w:val="24"/>
      <w:lang w:val="fr-FR" w:eastAsia="fr-FR"/>
    </w:rPr>
  </w:style>
  <w:style w:type="paragraph" w:styleId="Heading8">
    <w:name w:val="heading 8"/>
    <w:basedOn w:val="Normal"/>
    <w:next w:val="Normal"/>
    <w:link w:val="Heading8Char"/>
    <w:rsid w:val="000E62C0"/>
    <w:pPr>
      <w:numPr>
        <w:ilvl w:val="7"/>
        <w:numId w:val="28"/>
      </w:numPr>
      <w:spacing w:before="240" w:after="60" w:line="240" w:lineRule="auto"/>
      <w:outlineLvl w:val="7"/>
    </w:pPr>
    <w:rPr>
      <w:rFonts w:eastAsia="Times New Roman"/>
      <w:i/>
      <w:iCs/>
      <w:sz w:val="24"/>
      <w:szCs w:val="24"/>
      <w:lang w:val="fr-FR" w:eastAsia="fr-FR"/>
    </w:rPr>
  </w:style>
  <w:style w:type="paragraph" w:styleId="Heading9">
    <w:name w:val="heading 9"/>
    <w:basedOn w:val="Normal"/>
    <w:next w:val="Normal"/>
    <w:link w:val="Heading9Char"/>
    <w:rsid w:val="000E62C0"/>
    <w:pPr>
      <w:numPr>
        <w:ilvl w:val="8"/>
        <w:numId w:val="28"/>
      </w:numPr>
      <w:spacing w:before="240" w:after="60" w:line="240" w:lineRule="auto"/>
      <w:outlineLvl w:val="8"/>
    </w:pPr>
    <w:rPr>
      <w:rFonts w:ascii="Arial" w:eastAsia="Times New Roman" w:hAnsi="Arial" w:cs="Arial"/>
      <w:sz w:val="22"/>
      <w:szCs w:val="22"/>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H1nonumb">
    <w:name w:val="M H 1 no numb"/>
    <w:basedOn w:val="Normal"/>
    <w:next w:val="Normal"/>
    <w:link w:val="MH1nonumbChar"/>
    <w:qFormat/>
    <w:rsid w:val="003631E0"/>
    <w:pPr>
      <w:keepNext/>
      <w:pageBreakBefore/>
      <w:spacing w:after="480" w:line="240" w:lineRule="auto"/>
      <w:jc w:val="both"/>
      <w:outlineLvl w:val="0"/>
    </w:pPr>
    <w:rPr>
      <w:rFonts w:ascii="Century Gothic" w:eastAsia="Times New Roman" w:hAnsi="Century Gothic"/>
      <w:b/>
      <w:caps/>
      <w:sz w:val="24"/>
      <w:szCs w:val="24"/>
      <w:lang w:eastAsia="fr-FR"/>
    </w:rPr>
  </w:style>
  <w:style w:type="character" w:customStyle="1" w:styleId="MH1nonumbChar">
    <w:name w:val="M H 1 no numb Char"/>
    <w:link w:val="MH1nonumb"/>
    <w:rsid w:val="003631E0"/>
    <w:rPr>
      <w:rFonts w:ascii="Century Gothic" w:eastAsia="Times New Roman" w:hAnsi="Century Gothic"/>
      <w:b/>
      <w:caps/>
      <w:sz w:val="24"/>
      <w:szCs w:val="24"/>
      <w:lang w:eastAsia="fr-FR"/>
    </w:rPr>
  </w:style>
  <w:style w:type="paragraph" w:customStyle="1" w:styleId="MMultilevel">
    <w:name w:val="M Multilevel"/>
    <w:basedOn w:val="Normal"/>
    <w:link w:val="MMultilevelChar"/>
    <w:qFormat/>
    <w:rsid w:val="002A4AFA"/>
    <w:pPr>
      <w:widowControl w:val="0"/>
      <w:numPr>
        <w:numId w:val="1"/>
      </w:numPr>
      <w:spacing w:after="0" w:line="240" w:lineRule="auto"/>
      <w:jc w:val="both"/>
    </w:pPr>
    <w:rPr>
      <w:rFonts w:eastAsia="Times New Roman"/>
      <w:bCs/>
      <w:sz w:val="22"/>
      <w:szCs w:val="22"/>
      <w:lang w:val="en-US" w:eastAsia="fr-FR"/>
    </w:rPr>
  </w:style>
  <w:style w:type="character" w:customStyle="1" w:styleId="MMultilevelChar">
    <w:name w:val="M Multilevel Char"/>
    <w:link w:val="MMultilevel"/>
    <w:rsid w:val="002A4AFA"/>
    <w:rPr>
      <w:rFonts w:eastAsia="Times New Roman"/>
      <w:bCs/>
      <w:sz w:val="22"/>
      <w:szCs w:val="22"/>
      <w:lang w:val="en-US" w:eastAsia="fr-FR"/>
    </w:rPr>
  </w:style>
  <w:style w:type="paragraph" w:styleId="ListParagraph">
    <w:name w:val="List Paragraph"/>
    <w:basedOn w:val="Normal"/>
    <w:uiPriority w:val="34"/>
    <w:qFormat/>
    <w:rsid w:val="001907D6"/>
    <w:pPr>
      <w:ind w:left="720"/>
      <w:contextualSpacing/>
    </w:pPr>
  </w:style>
  <w:style w:type="paragraph" w:customStyle="1" w:styleId="MBT">
    <w:name w:val="M BT"/>
    <w:basedOn w:val="Normal"/>
    <w:link w:val="MBTChar"/>
    <w:qFormat/>
    <w:rsid w:val="002177B9"/>
    <w:pPr>
      <w:widowControl w:val="0"/>
      <w:spacing w:after="0" w:line="240" w:lineRule="auto"/>
      <w:jc w:val="both"/>
    </w:pPr>
    <w:rPr>
      <w:rFonts w:eastAsia="Times New Roman"/>
      <w:bCs/>
      <w:sz w:val="22"/>
      <w:szCs w:val="22"/>
      <w:lang w:val="en-US" w:eastAsia="fr-FR"/>
    </w:rPr>
  </w:style>
  <w:style w:type="character" w:customStyle="1" w:styleId="MBTChar">
    <w:name w:val="M BT Char"/>
    <w:link w:val="MBT"/>
    <w:rsid w:val="002177B9"/>
    <w:rPr>
      <w:rFonts w:eastAsia="Times New Roman"/>
      <w:bCs/>
      <w:sz w:val="22"/>
      <w:szCs w:val="22"/>
      <w:lang w:val="en-US" w:eastAsia="fr-FR"/>
    </w:rPr>
  </w:style>
  <w:style w:type="character" w:styleId="CommentReference">
    <w:name w:val="annotation reference"/>
    <w:basedOn w:val="DefaultParagraphFont"/>
    <w:uiPriority w:val="99"/>
    <w:semiHidden/>
    <w:unhideWhenUsed/>
    <w:rsid w:val="00C20061"/>
    <w:rPr>
      <w:sz w:val="16"/>
      <w:szCs w:val="16"/>
    </w:rPr>
  </w:style>
  <w:style w:type="paragraph" w:styleId="CommentText">
    <w:name w:val="annotation text"/>
    <w:basedOn w:val="Normal"/>
    <w:link w:val="CommentTextChar"/>
    <w:uiPriority w:val="99"/>
    <w:semiHidden/>
    <w:unhideWhenUsed/>
    <w:rsid w:val="00C20061"/>
    <w:pPr>
      <w:spacing w:line="240" w:lineRule="auto"/>
    </w:pPr>
    <w:rPr>
      <w:sz w:val="20"/>
      <w:szCs w:val="20"/>
    </w:rPr>
  </w:style>
  <w:style w:type="character" w:customStyle="1" w:styleId="CommentTextChar">
    <w:name w:val="Comment Text Char"/>
    <w:basedOn w:val="DefaultParagraphFont"/>
    <w:link w:val="CommentText"/>
    <w:uiPriority w:val="99"/>
    <w:semiHidden/>
    <w:rsid w:val="00C20061"/>
    <w:rPr>
      <w:sz w:val="20"/>
      <w:szCs w:val="20"/>
    </w:rPr>
  </w:style>
  <w:style w:type="paragraph" w:styleId="CommentSubject">
    <w:name w:val="annotation subject"/>
    <w:basedOn w:val="CommentText"/>
    <w:next w:val="CommentText"/>
    <w:link w:val="CommentSubjectChar"/>
    <w:uiPriority w:val="99"/>
    <w:semiHidden/>
    <w:unhideWhenUsed/>
    <w:rsid w:val="00C20061"/>
    <w:rPr>
      <w:b/>
      <w:bCs/>
    </w:rPr>
  </w:style>
  <w:style w:type="character" w:customStyle="1" w:styleId="CommentSubjectChar">
    <w:name w:val="Comment Subject Char"/>
    <w:basedOn w:val="CommentTextChar"/>
    <w:link w:val="CommentSubject"/>
    <w:uiPriority w:val="99"/>
    <w:semiHidden/>
    <w:rsid w:val="00C20061"/>
    <w:rPr>
      <w:b/>
      <w:bCs/>
      <w:sz w:val="20"/>
      <w:szCs w:val="20"/>
    </w:rPr>
  </w:style>
  <w:style w:type="paragraph" w:styleId="BalloonText">
    <w:name w:val="Balloon Text"/>
    <w:basedOn w:val="Normal"/>
    <w:link w:val="BalloonTextChar"/>
    <w:uiPriority w:val="99"/>
    <w:semiHidden/>
    <w:unhideWhenUsed/>
    <w:rsid w:val="00C20061"/>
    <w:pPr>
      <w:spacing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C20061"/>
    <w:rPr>
      <w:rFonts w:ascii="Segoe UI" w:hAnsi="Segoe UI" w:cs="Segoe UI"/>
    </w:rPr>
  </w:style>
  <w:style w:type="paragraph" w:styleId="Revision">
    <w:name w:val="Revision"/>
    <w:hidden/>
    <w:uiPriority w:val="99"/>
    <w:semiHidden/>
    <w:rsid w:val="00040BAD"/>
    <w:pPr>
      <w:spacing w:after="0" w:line="240" w:lineRule="auto"/>
    </w:pPr>
  </w:style>
  <w:style w:type="paragraph" w:styleId="FootnoteText">
    <w:name w:val="footnote text"/>
    <w:aliases w:val="M Footnotes"/>
    <w:basedOn w:val="Normal"/>
    <w:link w:val="FootnoteTextChar"/>
    <w:uiPriority w:val="99"/>
    <w:unhideWhenUsed/>
    <w:qFormat/>
    <w:rsid w:val="008F18C7"/>
    <w:pPr>
      <w:spacing w:after="0" w:line="240" w:lineRule="auto"/>
    </w:pPr>
    <w:rPr>
      <w:sz w:val="24"/>
      <w:szCs w:val="24"/>
    </w:rPr>
  </w:style>
  <w:style w:type="character" w:customStyle="1" w:styleId="FootnoteTextChar">
    <w:name w:val="Footnote Text Char"/>
    <w:aliases w:val="M Footnotes Char"/>
    <w:basedOn w:val="DefaultParagraphFont"/>
    <w:link w:val="FootnoteText"/>
    <w:uiPriority w:val="99"/>
    <w:rsid w:val="008F18C7"/>
    <w:rPr>
      <w:sz w:val="24"/>
      <w:szCs w:val="24"/>
    </w:rPr>
  </w:style>
  <w:style w:type="character" w:styleId="Hyperlink">
    <w:name w:val="Hyperlink"/>
    <w:uiPriority w:val="99"/>
    <w:rsid w:val="008F18C7"/>
    <w:rPr>
      <w:color w:val="0000FF"/>
      <w:u w:val="single"/>
    </w:rPr>
  </w:style>
  <w:style w:type="character" w:styleId="FootnoteReference">
    <w:name w:val="footnote reference"/>
    <w:aliases w:val="Footnote Refernece,BVI fnr,callout,16 Point,Superscript 6 Point,Odwołanie przypisu,Footnote symbol,Footnote Reference Number,Footnote Reference Superscript,SUPERS,Times 10 Point,Exposant 3 Point,Ref,de nota al pie,number, BVI fnr,FR,F"/>
    <w:uiPriority w:val="99"/>
    <w:qFormat/>
    <w:rsid w:val="008F18C7"/>
    <w:rPr>
      <w:vertAlign w:val="superscript"/>
    </w:rPr>
  </w:style>
  <w:style w:type="character" w:customStyle="1" w:styleId="Heading5Char">
    <w:name w:val="Heading 5 Char"/>
    <w:basedOn w:val="DefaultParagraphFont"/>
    <w:link w:val="Heading5"/>
    <w:rsid w:val="000E62C0"/>
    <w:rPr>
      <w:rFonts w:eastAsia="Times New Roman"/>
      <w:b/>
      <w:bCs/>
      <w:i/>
      <w:iCs/>
      <w:sz w:val="26"/>
      <w:szCs w:val="26"/>
      <w:lang w:val="fr-FR" w:eastAsia="fr-FR"/>
    </w:rPr>
  </w:style>
  <w:style w:type="character" w:customStyle="1" w:styleId="Heading6Char">
    <w:name w:val="Heading 6 Char"/>
    <w:basedOn w:val="DefaultParagraphFont"/>
    <w:link w:val="Heading6"/>
    <w:rsid w:val="000E62C0"/>
    <w:rPr>
      <w:rFonts w:eastAsia="Times New Roman"/>
      <w:b/>
      <w:bCs/>
      <w:sz w:val="22"/>
      <w:szCs w:val="22"/>
      <w:lang w:val="fr-FR" w:eastAsia="fr-FR"/>
    </w:rPr>
  </w:style>
  <w:style w:type="character" w:customStyle="1" w:styleId="Heading7Char">
    <w:name w:val="Heading 7 Char"/>
    <w:basedOn w:val="DefaultParagraphFont"/>
    <w:link w:val="Heading7"/>
    <w:rsid w:val="000E62C0"/>
    <w:rPr>
      <w:rFonts w:eastAsia="Times New Roman"/>
      <w:sz w:val="24"/>
      <w:szCs w:val="24"/>
      <w:lang w:val="fr-FR" w:eastAsia="fr-FR"/>
    </w:rPr>
  </w:style>
  <w:style w:type="character" w:customStyle="1" w:styleId="Heading8Char">
    <w:name w:val="Heading 8 Char"/>
    <w:basedOn w:val="DefaultParagraphFont"/>
    <w:link w:val="Heading8"/>
    <w:rsid w:val="000E62C0"/>
    <w:rPr>
      <w:rFonts w:eastAsia="Times New Roman"/>
      <w:i/>
      <w:iCs/>
      <w:sz w:val="24"/>
      <w:szCs w:val="24"/>
      <w:lang w:val="fr-FR" w:eastAsia="fr-FR"/>
    </w:rPr>
  </w:style>
  <w:style w:type="character" w:customStyle="1" w:styleId="Heading9Char">
    <w:name w:val="Heading 9 Char"/>
    <w:basedOn w:val="DefaultParagraphFont"/>
    <w:link w:val="Heading9"/>
    <w:rsid w:val="000E62C0"/>
    <w:rPr>
      <w:rFonts w:ascii="Arial" w:eastAsia="Times New Roman" w:hAnsi="Arial" w:cs="Arial"/>
      <w:sz w:val="22"/>
      <w:szCs w:val="22"/>
      <w:lang w:val="fr-FR" w:eastAsia="fr-FR"/>
    </w:rPr>
  </w:style>
  <w:style w:type="paragraph" w:customStyle="1" w:styleId="MH1">
    <w:name w:val="M H 1"/>
    <w:basedOn w:val="Heading1"/>
    <w:next w:val="MBT"/>
    <w:qFormat/>
    <w:rsid w:val="000E62C0"/>
    <w:pPr>
      <w:keepLines w:val="0"/>
      <w:pageBreakBefore/>
      <w:numPr>
        <w:numId w:val="28"/>
      </w:numPr>
      <w:tabs>
        <w:tab w:val="clear" w:pos="432"/>
      </w:tabs>
      <w:spacing w:before="0" w:after="480" w:line="240" w:lineRule="auto"/>
      <w:ind w:left="425" w:hanging="425"/>
      <w:jc w:val="both"/>
    </w:pPr>
    <w:rPr>
      <w:rFonts w:ascii="Century Gothic" w:eastAsia="Times New Roman" w:hAnsi="Century Gothic" w:cs="Times New Roman"/>
      <w:bCs w:val="0"/>
      <w:caps/>
      <w:color w:val="auto"/>
      <w:sz w:val="24"/>
      <w:szCs w:val="24"/>
      <w:lang w:eastAsia="fr-FR"/>
    </w:rPr>
  </w:style>
  <w:style w:type="paragraph" w:customStyle="1" w:styleId="MH2">
    <w:name w:val="M H 2"/>
    <w:basedOn w:val="Heading2"/>
    <w:next w:val="MBT"/>
    <w:link w:val="MH2Char"/>
    <w:qFormat/>
    <w:rsid w:val="000E62C0"/>
    <w:pPr>
      <w:keepLines w:val="0"/>
      <w:numPr>
        <w:ilvl w:val="1"/>
        <w:numId w:val="28"/>
      </w:numPr>
      <w:spacing w:before="0" w:after="240" w:line="240" w:lineRule="auto"/>
      <w:jc w:val="both"/>
    </w:pPr>
    <w:rPr>
      <w:rFonts w:ascii="Century Gothic" w:eastAsia="Times New Roman" w:hAnsi="Century Gothic" w:cs="Arial"/>
      <w:iCs/>
      <w:caps/>
      <w:color w:val="auto"/>
      <w:sz w:val="22"/>
      <w:szCs w:val="28"/>
      <w:lang w:eastAsia="fr-FR"/>
    </w:rPr>
  </w:style>
  <w:style w:type="paragraph" w:customStyle="1" w:styleId="MH3">
    <w:name w:val="M H 3"/>
    <w:basedOn w:val="Heading3"/>
    <w:next w:val="MBT"/>
    <w:qFormat/>
    <w:rsid w:val="000E62C0"/>
    <w:pPr>
      <w:keepLines w:val="0"/>
      <w:numPr>
        <w:ilvl w:val="2"/>
        <w:numId w:val="28"/>
      </w:numPr>
      <w:tabs>
        <w:tab w:val="clear" w:pos="720"/>
        <w:tab w:val="num" w:pos="1276"/>
      </w:tabs>
      <w:spacing w:before="0" w:after="240" w:line="240" w:lineRule="auto"/>
      <w:ind w:left="1276" w:hanging="425"/>
      <w:jc w:val="both"/>
    </w:pPr>
    <w:rPr>
      <w:rFonts w:ascii="Century Gothic" w:eastAsia="Times New Roman" w:hAnsi="Century Gothic" w:cs="Arial"/>
      <w:color w:val="auto"/>
      <w:sz w:val="22"/>
      <w:szCs w:val="22"/>
      <w:lang w:eastAsia="fr-FR"/>
    </w:rPr>
  </w:style>
  <w:style w:type="character" w:customStyle="1" w:styleId="MH2Char">
    <w:name w:val="M H 2 Char"/>
    <w:link w:val="MH2"/>
    <w:rsid w:val="000E62C0"/>
    <w:rPr>
      <w:rFonts w:ascii="Century Gothic" w:eastAsia="Times New Roman" w:hAnsi="Century Gothic" w:cs="Arial"/>
      <w:b/>
      <w:bCs/>
      <w:iCs/>
      <w:caps/>
      <w:sz w:val="22"/>
      <w:szCs w:val="28"/>
      <w:lang w:eastAsia="fr-FR"/>
    </w:rPr>
  </w:style>
  <w:style w:type="paragraph" w:customStyle="1" w:styleId="MH4">
    <w:name w:val="M H 4"/>
    <w:basedOn w:val="Heading4"/>
    <w:next w:val="MBT"/>
    <w:qFormat/>
    <w:rsid w:val="000E62C0"/>
    <w:pPr>
      <w:keepLines w:val="0"/>
      <w:numPr>
        <w:ilvl w:val="3"/>
        <w:numId w:val="28"/>
      </w:numPr>
      <w:tabs>
        <w:tab w:val="clear" w:pos="1764"/>
        <w:tab w:val="num" w:pos="851"/>
        <w:tab w:val="num" w:pos="1701"/>
      </w:tabs>
      <w:spacing w:before="0" w:after="240" w:line="240" w:lineRule="auto"/>
      <w:ind w:left="868" w:hanging="868"/>
      <w:jc w:val="both"/>
    </w:pPr>
    <w:rPr>
      <w:rFonts w:ascii="Century Gothic" w:eastAsia="Times New Roman" w:hAnsi="Century Gothic" w:cs="Times New Roman"/>
      <w:b w:val="0"/>
      <w:i w:val="0"/>
      <w:iCs w:val="0"/>
      <w:color w:val="auto"/>
      <w:sz w:val="22"/>
      <w:szCs w:val="22"/>
      <w:lang w:eastAsia="fr-FR"/>
    </w:rPr>
  </w:style>
  <w:style w:type="character" w:customStyle="1" w:styleId="Heading1Char">
    <w:name w:val="Heading 1 Char"/>
    <w:basedOn w:val="DefaultParagraphFont"/>
    <w:link w:val="Heading1"/>
    <w:uiPriority w:val="9"/>
    <w:rsid w:val="000E62C0"/>
    <w:rPr>
      <w:rFonts w:asciiTheme="majorHAnsi" w:eastAsiaTheme="majorEastAsia" w:hAnsiTheme="majorHAnsi" w:cstheme="majorBidi"/>
      <w:b/>
      <w:bCs/>
      <w:color w:val="2D4F8E" w:themeColor="accent1" w:themeShade="B5"/>
      <w:sz w:val="32"/>
      <w:szCs w:val="32"/>
    </w:rPr>
  </w:style>
  <w:style w:type="character" w:customStyle="1" w:styleId="Heading2Char">
    <w:name w:val="Heading 2 Char"/>
    <w:basedOn w:val="DefaultParagraphFont"/>
    <w:link w:val="Heading2"/>
    <w:uiPriority w:val="9"/>
    <w:semiHidden/>
    <w:rsid w:val="000E62C0"/>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semiHidden/>
    <w:rsid w:val="000E62C0"/>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semiHidden/>
    <w:rsid w:val="000E62C0"/>
    <w:rPr>
      <w:rFonts w:asciiTheme="majorHAnsi" w:eastAsiaTheme="majorEastAsia" w:hAnsiTheme="majorHAnsi" w:cstheme="majorBidi"/>
      <w:b/>
      <w:bCs/>
      <w:i/>
      <w:iCs/>
      <w:color w:val="4472C4" w:themeColor="accent1"/>
    </w:rPr>
  </w:style>
  <w:style w:type="character" w:styleId="FollowedHyperlink">
    <w:name w:val="FollowedHyperlink"/>
    <w:basedOn w:val="DefaultParagraphFont"/>
    <w:uiPriority w:val="99"/>
    <w:semiHidden/>
    <w:unhideWhenUsed/>
    <w:rsid w:val="00BC2ABE"/>
    <w:rPr>
      <w:color w:val="954F72" w:themeColor="followedHyperlink"/>
      <w:u w:val="single"/>
    </w:rPr>
  </w:style>
  <w:style w:type="paragraph" w:styleId="Header">
    <w:name w:val="header"/>
    <w:basedOn w:val="Normal"/>
    <w:link w:val="HeaderChar"/>
    <w:uiPriority w:val="99"/>
    <w:unhideWhenUsed/>
    <w:rsid w:val="00992E5B"/>
    <w:pPr>
      <w:tabs>
        <w:tab w:val="center" w:pos="4536"/>
        <w:tab w:val="right" w:pos="9072"/>
      </w:tabs>
      <w:spacing w:after="0" w:line="240" w:lineRule="auto"/>
    </w:pPr>
  </w:style>
  <w:style w:type="character" w:customStyle="1" w:styleId="HeaderChar">
    <w:name w:val="Header Char"/>
    <w:basedOn w:val="DefaultParagraphFont"/>
    <w:link w:val="Header"/>
    <w:uiPriority w:val="99"/>
    <w:rsid w:val="00992E5B"/>
  </w:style>
  <w:style w:type="paragraph" w:styleId="Footer">
    <w:name w:val="footer"/>
    <w:basedOn w:val="Normal"/>
    <w:link w:val="FooterChar"/>
    <w:uiPriority w:val="99"/>
    <w:unhideWhenUsed/>
    <w:rsid w:val="00992E5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92E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400266">
      <w:bodyDiv w:val="1"/>
      <w:marLeft w:val="0"/>
      <w:marRight w:val="0"/>
      <w:marTop w:val="0"/>
      <w:marBottom w:val="0"/>
      <w:divBdr>
        <w:top w:val="none" w:sz="0" w:space="0" w:color="auto"/>
        <w:left w:val="none" w:sz="0" w:space="0" w:color="auto"/>
        <w:bottom w:val="none" w:sz="0" w:space="0" w:color="auto"/>
        <w:right w:val="none" w:sz="0" w:space="0" w:color="auto"/>
      </w:divBdr>
    </w:div>
    <w:div w:id="712071920">
      <w:bodyDiv w:val="1"/>
      <w:marLeft w:val="0"/>
      <w:marRight w:val="0"/>
      <w:marTop w:val="0"/>
      <w:marBottom w:val="0"/>
      <w:divBdr>
        <w:top w:val="none" w:sz="0" w:space="0" w:color="auto"/>
        <w:left w:val="none" w:sz="0" w:space="0" w:color="auto"/>
        <w:bottom w:val="none" w:sz="0" w:space="0" w:color="auto"/>
        <w:right w:val="none" w:sz="0" w:space="0" w:color="auto"/>
      </w:divBdr>
    </w:div>
    <w:div w:id="1250625252">
      <w:bodyDiv w:val="1"/>
      <w:marLeft w:val="0"/>
      <w:marRight w:val="0"/>
      <w:marTop w:val="0"/>
      <w:marBottom w:val="0"/>
      <w:divBdr>
        <w:top w:val="none" w:sz="0" w:space="0" w:color="auto"/>
        <w:left w:val="none" w:sz="0" w:space="0" w:color="auto"/>
        <w:bottom w:val="none" w:sz="0" w:space="0" w:color="auto"/>
        <w:right w:val="none" w:sz="0" w:space="0" w:color="auto"/>
      </w:divBdr>
    </w:div>
    <w:div w:id="1504051816">
      <w:bodyDiv w:val="1"/>
      <w:marLeft w:val="0"/>
      <w:marRight w:val="0"/>
      <w:marTop w:val="0"/>
      <w:marBottom w:val="0"/>
      <w:divBdr>
        <w:top w:val="none" w:sz="0" w:space="0" w:color="auto"/>
        <w:left w:val="none" w:sz="0" w:space="0" w:color="auto"/>
        <w:bottom w:val="none" w:sz="0" w:space="0" w:color="auto"/>
        <w:right w:val="none" w:sz="0" w:space="0" w:color="auto"/>
      </w:divBdr>
    </w:div>
    <w:div w:id="1615214595">
      <w:bodyDiv w:val="1"/>
      <w:marLeft w:val="0"/>
      <w:marRight w:val="0"/>
      <w:marTop w:val="0"/>
      <w:marBottom w:val="0"/>
      <w:divBdr>
        <w:top w:val="none" w:sz="0" w:space="0" w:color="auto"/>
        <w:left w:val="none" w:sz="0" w:space="0" w:color="auto"/>
        <w:bottom w:val="none" w:sz="0" w:space="0" w:color="auto"/>
        <w:right w:val="none" w:sz="0" w:space="0" w:color="auto"/>
      </w:divBdr>
    </w:div>
    <w:div w:id="1732578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cylaw.org/nomoi/enop/non-ind/2007_1_188/full.html" TargetMode="External"/><Relationship Id="rId3" Type="http://schemas.openxmlformats.org/officeDocument/2006/relationships/hyperlink" Target="http://www.mof.gov.cy/mof/gpo/gpo.nsf/All/20CF8C6CABEC7FF4C225824400389AD4/$file/4568%202%203%202018%20PARARTHMA%204o%20MEROS%20I.pdf" TargetMode="External"/><Relationship Id="rId7" Type="http://schemas.openxmlformats.org/officeDocument/2006/relationships/hyperlink" Target="http://www.cylaw.org/nomoi/enop/non-ind/1999_1_158/full.html" TargetMode="External"/><Relationship Id="rId2" Type="http://schemas.openxmlformats.org/officeDocument/2006/relationships/hyperlink" Target="http://www.mof.gov.cy/mof/gpo/gpo.nsf/All/626C3F5813AB3EF9C22580300033CD78/$file/4504%2016%209%202016%20PARARTIMA%204o%20MEROS%20I.pdf" TargetMode="External"/><Relationship Id="rId1" Type="http://schemas.openxmlformats.org/officeDocument/2006/relationships/hyperlink" Target="http://www.cylaw.org/nomoi/indexes/2002_1_141.html" TargetMode="External"/><Relationship Id="rId6" Type="http://schemas.openxmlformats.org/officeDocument/2006/relationships/hyperlink" Target="http://mof.gov.cy/en/press-office/announcements/417/?ctype=ar" TargetMode="External"/><Relationship Id="rId5" Type="http://schemas.openxmlformats.org/officeDocument/2006/relationships/hyperlink" Target="http://www.moi.gov.cy/moi/CRMD/crmd.nsf/All/6E845849175A310DC2257F7D0030F4FE?OpenDocument" TargetMode="External"/><Relationship Id="rId10" Type="http://schemas.openxmlformats.org/officeDocument/2006/relationships/hyperlink" Target="http://cyprus-mail.com/2018/02/26/mps-seek-greater-transparency-sale-passports/" TargetMode="External"/><Relationship Id="rId4" Type="http://schemas.openxmlformats.org/officeDocument/2006/relationships/hyperlink" Target="http://www.moi.gov.cy/moi/CRMD/crmd.nsf/page10_2_gr/page10_2_gr?OpenDocument" TargetMode="External"/><Relationship Id="rId9" Type="http://schemas.openxmlformats.org/officeDocument/2006/relationships/hyperlink" Target="http://www.cylaw.org/nomoi/enop/non-ind/1985_1_21/ful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7</Pages>
  <Words>3775</Words>
  <Characters>20765</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dc:creator>
  <cp:lastModifiedBy>Microsoft Office User</cp:lastModifiedBy>
  <cp:revision>4</cp:revision>
  <cp:lastPrinted>2018-07-19T12:43:00Z</cp:lastPrinted>
  <dcterms:created xsi:type="dcterms:W3CDTF">2018-08-07T15:00:00Z</dcterms:created>
  <dcterms:modified xsi:type="dcterms:W3CDTF">2018-08-07T15:52:00Z</dcterms:modified>
</cp:coreProperties>
</file>